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0440-2022-EnMs-2023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深州冀衡药业有限公司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R197EnMS220088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91131182MA0EJR4U8K</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244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深州冀衡药业有限公司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化学药品原料（对乙酰氨基酚、对乙酰氨基酚颗粒）的生产所涉及的能源管理活动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河北省衡水市深州市东安庄乡西景明村郭辛线西侧</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河北省衡水市深州市东安庄乡西景明村郭辛线西侧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深州冀衡药业有限公司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R197EnMS220088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河北省衡水市深州市东安庄乡西景明村郭辛线西侧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