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陕西倍斯通科技有限公司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马文娟</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2023年04月07日 上午至2023年04月07日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