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0010-2022-QJEO-2023</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重庆百环环保科技有限公司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EC:,E:,O:</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91500104MA5UQ6J45T</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EC:未认可,E:未认可,O:未认可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EC:25,E:25,O:25</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重庆百环环保科技有限公司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重庆市大渡口区春晖路街道翠柏路101号附1号负1-10</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重庆市大渡口区春晖路街道翠柏路101号附1号负1-10</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重庆百环环保科技有限公司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EC:,E:,O:</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重庆市大渡口区春晖路街道翠柏路101号附1号负1-10</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