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青岛雷盾防雷技术有限公司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青岛市黄岛区茂山路316号219室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青岛市黄岛区六汪镇五道口泰薛路106号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杨仕伦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13969651017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953923723@qq.com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30331-2023-QO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Q：降电阻接地材料（接地模块、碳凝接地电极、石墨复合型接地体、离子接地极，铜包钢）的生产和防雷避雷用材料（放热焊接材料、有色金属材料）的销售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O：降电阻接地材料（接地模块、碳凝接地电极、石墨复合型接地体、离子接地极，铜包钢）的生产和防雷避雷用材料（放热焊接材料、有色金属材料）的销售所涉及场所的相关职业健康安全管理活动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Q：19.14.00;29.12.00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O：19.14.00;29.12.00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2023年04月10日 上午至2023年04月10日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2023-N1OHSMS-4073544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Q:19.14.00,29.12.00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O:19.14.00,29.12.00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汪桂丽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2021-N1QMS-6043149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2020-N1OHSMS-3043149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13589369698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