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重庆卡茂包装制品有限公司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0036-2020-Q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91500108MA5U7YKCXN</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FF"/>
                <w:szCs w:val="21"/>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FF"/>
                <w:szCs w:val="21"/>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w:t>
            </w:r>
            <w:r>
              <w:rPr>
                <w:rFonts w:hint="eastAsia"/>
                <w:color w:val="000000"/>
                <w:szCs w:val="21"/>
                <w:lang w:eastAsia="zh-CN"/>
              </w:rPr>
              <w:t>适用</w:t>
            </w:r>
            <w:r>
              <w:rPr>
                <w:rFonts w:hint="eastAsia"/>
                <w:color w:val="000000"/>
                <w:szCs w:val="21"/>
              </w:rPr>
              <w:t>（</w:t>
            </w:r>
            <w:r>
              <w:rPr>
                <w:rFonts w:hint="eastAsia"/>
                <w:color w:val="000000"/>
                <w:szCs w:val="21"/>
                <w:lang w:eastAsia="zh-CN"/>
              </w:rPr>
              <w:t>无特种设备</w:t>
            </w:r>
            <w:r>
              <w:rPr>
                <w:rFonts w:hint="eastAsia"/>
                <w:color w:val="000000"/>
                <w:szCs w:val="21"/>
              </w:rPr>
              <w:t>）</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D026EB"/>
    <w:rsid w:val="6025456D"/>
    <w:rsid w:val="6BF3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2020-03-17T06:04:40Z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