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30328-2023-Q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捷英桥(北京)国际科技有限公司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捷英桥(北京)国际科技有限公司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北京市海淀区双榆树东里2号楼3门502室（住宅）</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100086</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北京市海淀区双榆树东里2号楼3门502室</w:t>
            </w:r>
            <w:bookmarkEnd w:id="8"/>
          </w:p>
        </w:tc>
        <w:tc>
          <w:tcPr>
            <w:tcW w:w="1242" w:type="dxa"/>
            <w:vMerge/>
            <w:vAlign w:val="center"/>
          </w:tcPr>
          <w:p w:rsidR="00190ED2"/>
        </w:tc>
        <w:tc>
          <w:tcPr>
            <w:tcW w:w="1771" w:type="dxa"/>
          </w:tcPr>
          <w:p w:rsidR="00190ED2">
            <w:bookmarkStart w:id="9" w:name="办公邮编"/>
            <w:r>
              <w:t>100086</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李欣</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100086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李欣</w:t>
            </w:r>
            <w:bookmarkEnd w:id="13"/>
          </w:p>
        </w:tc>
        <w:tc>
          <w:tcPr>
            <w:tcW w:w="1313" w:type="dxa"/>
            <w:vAlign w:val="center"/>
          </w:tcPr>
          <w:p w:rsidR="00190ED2">
            <w:r>
              <w:rPr>
                <w:rFonts w:hint="eastAsia"/>
              </w:rPr>
              <w:t>管理者代表</w:t>
            </w:r>
          </w:p>
        </w:tc>
        <w:tc>
          <w:tcPr>
            <w:tcW w:w="2180" w:type="dxa"/>
          </w:tcPr>
          <w:p w:rsidR="00190ED2">
            <w:bookmarkStart w:id="14" w:name="管理者代表"/>
            <w:r>
              <w:t>13161608601</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2023年04月02日 上午至2023年04月02日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元器件的销售，环境测试控制系统设计及运维服务</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19.05.01;29.10.07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夏爱俭</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2020-N1QMS-1226516</w:t>
            </w:r>
          </w:p>
        </w:tc>
        <w:tc>
          <w:tcPr>
            <w:tcW w:w="2179" w:type="dxa"/>
            <w:vAlign w:val="center"/>
          </w:tcPr>
          <w:p w:rsidR="00190ED2">
            <w:r>
              <w:t>19.05.01,29.10.07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张丽</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2022-N1QMS-7100863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