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0223-2021-E-2023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成都博世威科技有限公司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陈伟</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ISC-E-2021-0952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91510132MA61ULB77H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成都博世威科技有限公司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油田助剂的销售所涉及场所的相关环境管理活动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成都市新津县五津镇兴园8路518号2栋1层</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广汉市新丰镇玉溪路三段六号1栋楼2层</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成都博世威科技有限公司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ISC-E-2021-0952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生产地址：四川省德阳市广汉市新丰镇玉溪路三段六号；经营地址：四川省德阳市广汉市新丰镇玉溪路三段六号1栋楼2层</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