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10306-2023-EO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杭州岸弘精密材料技术有限公司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2023年04月0</w:t>
            </w:r>
            <w:r>
              <w:rPr>
                <w:rFonts w:hint="eastAsia" w:ascii="宋体"/>
                <w:b/>
                <w:color w:val="000000"/>
                <w:szCs w:val="21"/>
                <w:lang w:val="en-US" w:eastAsia="zh-CN"/>
              </w:rPr>
              <w:t>7</w:t>
            </w:r>
            <w:r>
              <w:rPr>
                <w:rFonts w:hint="eastAsia" w:ascii="宋体"/>
                <w:b/>
                <w:color w:val="000000"/>
                <w:szCs w:val="21"/>
              </w:rPr>
              <w:t>日 上午至2023年04月0</w:t>
            </w:r>
            <w:r>
              <w:rPr>
                <w:rFonts w:hint="eastAsia" w:ascii="宋体"/>
                <w:b/>
                <w:color w:val="000000"/>
                <w:szCs w:val="21"/>
                <w:lang w:val="en-US" w:eastAsia="zh-CN"/>
              </w:rPr>
              <w:t>7</w:t>
            </w:r>
            <w:bookmarkStart w:id="36" w:name="_GoBack"/>
            <w:bookmarkEnd w:id="36"/>
            <w:r>
              <w:rPr>
                <w:rFonts w:hint="eastAsia" w:ascii="宋体"/>
                <w:b/>
                <w:color w:val="000000"/>
                <w:szCs w:val="21"/>
              </w:rPr>
              <w:t>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2022-N1EMS-2258213</w:t>
            </w:r>
          </w:p>
          <w:p>
            <w:pPr>
              <w:spacing w:line="240" w:lineRule="exact"/>
              <w:jc w:val="center"/>
              <w:rPr>
                <w:b/>
                <w:color w:val="000000"/>
                <w:szCs w:val="21"/>
              </w:rPr>
            </w:pPr>
            <w:r>
              <w:rPr>
                <w:b/>
                <w:color w:val="000000"/>
                <w:szCs w:val="21"/>
              </w:rPr>
              <w:t>2023-N1OHSMS-2258213</w:t>
            </w:r>
          </w:p>
        </w:tc>
        <w:tc>
          <w:tcPr>
            <w:tcW w:w="1140" w:type="dxa"/>
            <w:vAlign w:val="center"/>
          </w:tcPr>
          <w:p>
            <w:pPr>
              <w:spacing w:line="240" w:lineRule="exact"/>
              <w:jc w:val="center"/>
              <w:rPr>
                <w:b/>
                <w:color w:val="000000"/>
                <w:szCs w:val="21"/>
              </w:rPr>
            </w:pPr>
            <w:r>
              <w:rPr>
                <w:b/>
                <w:color w:val="000000"/>
                <w:szCs w:val="21"/>
              </w:rPr>
              <w:t>E:17.10.02</w:t>
            </w:r>
          </w:p>
          <w:p>
            <w:pPr>
              <w:spacing w:line="240" w:lineRule="exact"/>
              <w:jc w:val="center"/>
              <w:rPr>
                <w:b/>
                <w:color w:val="000000"/>
                <w:szCs w:val="21"/>
              </w:rPr>
            </w:pPr>
            <w:r>
              <w:rPr>
                <w:b/>
                <w:color w:val="000000"/>
                <w:szCs w:val="21"/>
              </w:rPr>
              <w:t>O:17.10.02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杭州岸弘精密材料技术有限公司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浙江省杭州市临平区塘栖镇酒店埭村11幢</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浙江省杭州市临平区塘栖镇酒店埭村11幢</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成利</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13735592058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陆王刚</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成利</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p>
        </w:tc>
        <w:tc>
          <w:tcPr>
            <w:tcW w:w="2267" w:type="dxa"/>
          </w:tcPr>
          <w:p>
            <w:pPr>
              <w:spacing w:before="40" w:after="40"/>
              <w:rPr>
                <w:rFonts w:eastAsia="黑体"/>
                <w:szCs w:val="21"/>
                <w:lang w:val="de-DE" w:eastAsia="ja-JP"/>
              </w:rPr>
            </w:pPr>
          </w:p>
        </w:tc>
        <w:tc>
          <w:tcPr>
            <w:tcW w:w="571" w:type="dxa"/>
            <w:vAlign w:val="center"/>
          </w:tcPr>
          <w:p>
            <w:pPr>
              <w:spacing w:before="40" w:after="40"/>
              <w:rPr>
                <w:rFonts w:eastAsia="黑体"/>
                <w:szCs w:val="21"/>
                <w:lang w:eastAsia="ja-JP"/>
              </w:rPr>
            </w:pPr>
          </w:p>
        </w:tc>
        <w:tc>
          <w:tcPr>
            <w:tcW w:w="2803" w:type="dxa"/>
            <w:vAlign w:val="center"/>
          </w:tcPr>
          <w:p>
            <w:pPr>
              <w:pStyle w:val="19"/>
              <w:rPr>
                <w:rFonts w:eastAsia="黑体" w:cs="Arial"/>
                <w:sz w:val="21"/>
                <w:szCs w:val="21"/>
                <w:lang w:val="en-US" w:eastAsia="ja-JP"/>
              </w:rPr>
            </w:pP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年月日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年月日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1165"/>
        <w:gridCol w:w="4461"/>
        <w:gridCol w:w="102"/>
        <w:gridCol w:w="901"/>
        <w:gridCol w:w="162"/>
        <w:gridCol w:w="16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9" w:type="dxa"/>
          <w:cantSplit/>
          <w:trHeight w:val="57" w:hRule="atLeast"/>
        </w:trPr>
        <w:tc>
          <w:tcPr>
            <w:tcW w:w="9754" w:type="dxa"/>
            <w:gridSpan w:val="7"/>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9754" w:type="dxa"/>
            <w:gridSpan w:val="7"/>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gridSpan w:val="2"/>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gridSpan w:val="2"/>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6"/>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8"/>
            <w:shd w:val="clear" w:color="auto" w:fill="F3F3F3"/>
            <w:vAlign w:val="center"/>
          </w:tcPr>
          <w:p>
            <w:pPr>
              <w:spacing w:before="40" w:after="40"/>
              <w:rPr>
                <w:rFonts w:eastAsia="黑体"/>
                <w:szCs w:val="21"/>
              </w:rPr>
            </w:pPr>
            <w:r>
              <w:rPr>
                <w:rFonts w:hint="eastAsia" w:ascii="Wingdings" w:hAnsi="Wingdings" w:eastAsia="黑体"/>
                <w:b/>
                <w:szCs w:val="21"/>
              </w:rPr>
              <w:t>¨</w:t>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ascii="Wingdings" w:hAnsi="Wingdings" w:eastAsia="黑体"/>
                <w:b/>
                <w:szCs w:val="21"/>
              </w:rPr>
              <w:t>¨</w:t>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8"/>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gridSpan w:val="2"/>
            <w:shd w:val="clear" w:color="auto" w:fill="E6E0EC" w:themeFill="accent4" w:themeFillTint="32"/>
          </w:tcPr>
          <w:p>
            <w:pPr>
              <w:rPr>
                <w:rFonts w:ascii="宋体"/>
                <w:color w:val="00000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gridSpan w:val="2"/>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gridSpan w:val="2"/>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gridSpan w:val="2"/>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gridSpan w:val="2"/>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gridSpan w:val="2"/>
            <w:shd w:val="clear" w:color="auto" w:fill="E6E0EC" w:themeFill="accent4" w:themeFillTint="32"/>
          </w:tcPr>
          <w:p>
            <w:pPr>
              <w:rPr>
                <w:rFonts w:ascii="宋体"/>
                <w:color w:val="000000"/>
                <w:szCs w:val="21"/>
              </w:rPr>
            </w:pPr>
            <w:r>
              <w:rPr>
                <w:rFonts w:hint="eastAsia" w:ascii="宋体"/>
                <w:color w:val="000000"/>
                <w:szCs w:val="21"/>
              </w:rPr>
              <w:t>是否满足产品检测的需要</w:t>
            </w:r>
          </w:p>
        </w:tc>
        <w:tc>
          <w:tcPr>
            <w:tcW w:w="1063" w:type="dxa"/>
            <w:gridSpan w:val="2"/>
            <w:shd w:val="clear" w:color="auto" w:fill="E6E0EC" w:themeFill="accent4" w:themeFillTint="32"/>
          </w:tcPr>
          <w:p>
            <w:pPr>
              <w:rPr>
                <w:rFonts w:ascii="宋体"/>
                <w:color w:val="000000"/>
                <w:szCs w:val="21"/>
              </w:rPr>
            </w:pPr>
            <w:r>
              <w:rPr>
                <w:rFonts w:hint="eastAsia" w:ascii="宋体"/>
                <w:color w:val="000000"/>
                <w:szCs w:val="21"/>
              </w:rPr>
              <w:t>□是</w:t>
            </w:r>
          </w:p>
        </w:tc>
        <w:tc>
          <w:tcPr>
            <w:tcW w:w="1637" w:type="dxa"/>
            <w:gridSpan w:val="2"/>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□产品食品安全标准</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continue"/>
            <w:shd w:val="clear" w:color="auto" w:fill="E6E0EC" w:themeFill="accent4" w:themeFillTint="32"/>
          </w:tcPr>
          <w:p>
            <w:pPr>
              <w:ind w:left="-1" w:leftChars="-1" w:hanging="1"/>
              <w:jc w:val="left"/>
              <w:rPr>
                <w:rFonts w:ascii="宋体"/>
                <w:color w:val="000000"/>
                <w:szCs w:val="21"/>
              </w:rPr>
            </w:pP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continue"/>
            <w:shd w:val="clear" w:color="auto" w:fill="E6E0EC" w:themeFill="accent4" w:themeFillTint="32"/>
          </w:tcPr>
          <w:p>
            <w:pPr>
              <w:ind w:left="-1" w:leftChars="-1" w:hanging="1"/>
              <w:jc w:val="left"/>
              <w:rPr>
                <w:rFonts w:ascii="宋体"/>
                <w:color w:val="000000"/>
                <w:szCs w:val="21"/>
              </w:rPr>
            </w:pPr>
          </w:p>
        </w:tc>
        <w:tc>
          <w:tcPr>
            <w:tcW w:w="4563"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bCs/>
                <w:sz w:val="20"/>
                <w:lang w:val="en-GB"/>
              </w:rPr>
              <w:t>产品安全性验证证据是否齐全</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gridSpan w:val="2"/>
            <w:shd w:val="clear" w:color="auto" w:fill="E6E0EC" w:themeFill="accent4"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ind w:left="168" w:leftChars="80"/>
              <w:rPr>
                <w:rFonts w:ascii="宋体"/>
                <w:color w:val="000000"/>
                <w:spacing w:val="-10"/>
                <w:szCs w:val="21"/>
              </w:rPr>
            </w:pPr>
          </w:p>
        </w:tc>
        <w:tc>
          <w:tcPr>
            <w:tcW w:w="4563" w:type="dxa"/>
            <w:gridSpan w:val="2"/>
            <w:shd w:val="clear" w:color="auto" w:fill="E6E0EC" w:themeFill="accent4" w:themeFillTint="32"/>
          </w:tcPr>
          <w:p>
            <w:pPr>
              <w:rPr>
                <w:rFonts w:ascii="宋体"/>
                <w:color w:val="000000"/>
                <w:spacing w:val="-10"/>
                <w:szCs w:val="21"/>
              </w:rPr>
            </w:pPr>
            <w:r>
              <w:rPr>
                <w:rFonts w:hint="eastAsia" w:ascii="宋体"/>
                <w:color w:val="000000"/>
                <w:szCs w:val="21"/>
              </w:rPr>
              <w:t>是否因食品安全问题受到媒体的曝光</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rPr>
                <w:szCs w:val="21"/>
              </w:rPr>
            </w:pPr>
          </w:p>
        </w:tc>
        <w:tc>
          <w:tcPr>
            <w:tcW w:w="45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是否发生了食品安全事故/召回</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rPr>
                <w:rFonts w:ascii="宋体" w:hAnsi="宋体"/>
                <w:color w:val="000000"/>
                <w:szCs w:val="21"/>
              </w:rPr>
            </w:pPr>
          </w:p>
        </w:tc>
        <w:tc>
          <w:tcPr>
            <w:tcW w:w="45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是否有重大顾客投诉</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6"/>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rPr>
                <w:rFonts w:eastAsia="黑体"/>
                <w:szCs w:val="21"/>
              </w:rPr>
            </w:pPr>
            <w:r>
              <w:rPr>
                <w:rFonts w:hint="eastAsia" w:ascii="Wingdings" w:hAnsi="Wingdings" w:eastAsia="黑体"/>
                <w:b/>
                <w:szCs w:val="21"/>
              </w:rPr>
              <w:t>¨</w:t>
            </w:r>
            <w:r>
              <w:rPr>
                <w:rFonts w:hint="eastAsia" w:ascii="宋体" w:hAnsi="宋体"/>
                <w:b/>
                <w:color w:val="000000"/>
                <w:szCs w:val="21"/>
                <w:lang w:val="de-DE"/>
              </w:rPr>
              <w:t>GB/T27341-2009□ GB 14881-2013 □HACCP补充要求 1.0</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8DB3E2" w:themeFill="text2" w:themeFillTint="66"/>
          </w:tcPr>
          <w:p>
            <w:pPr>
              <w:rPr>
                <w:rFonts w:ascii="宋体"/>
                <w:color w:val="00000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8DB3E2" w:themeFill="text2" w:themeFillTint="66"/>
          </w:tcPr>
          <w:p>
            <w:pPr>
              <w:rPr>
                <w:rFonts w:ascii="宋体"/>
                <w:color w:val="000000"/>
                <w:szCs w:val="21"/>
              </w:rPr>
            </w:pPr>
            <w:r>
              <w:rPr>
                <w:rFonts w:hint="eastAsia" w:ascii="宋体"/>
                <w:color w:val="000000"/>
                <w:szCs w:val="21"/>
              </w:rPr>
              <w:t>是否满足产品检测的需要</w:t>
            </w:r>
          </w:p>
        </w:tc>
        <w:tc>
          <w:tcPr>
            <w:tcW w:w="1063" w:type="dxa"/>
            <w:shd w:val="clear" w:color="auto" w:fill="8DB3E2" w:themeFill="text2" w:themeFillTint="66"/>
          </w:tcPr>
          <w:p>
            <w:pPr>
              <w:rPr>
                <w:rFonts w:ascii="宋体"/>
                <w:color w:val="000000"/>
                <w:szCs w:val="21"/>
              </w:rPr>
            </w:pPr>
            <w:r>
              <w:rPr>
                <w:rFonts w:hint="eastAsia" w:ascii="宋体"/>
                <w:color w:val="000000"/>
                <w:szCs w:val="21"/>
              </w:rPr>
              <w:t>□是</w:t>
            </w:r>
          </w:p>
        </w:tc>
        <w:tc>
          <w:tcPr>
            <w:tcW w:w="163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□产品食品安全标准</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bCs/>
                <w:sz w:val="20"/>
                <w:lang w:val="en-GB"/>
              </w:rPr>
              <w:t>产品安全性验证证据是否齐全</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t>□节能主管部门、□动力装置场所、□主要用能设备管理、□能源计量管理，□作业现场能源使用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2023-04-06</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UxN2Q2NTdmMzU3YjBkYzkwZTc5NjYzODhhZjFiNDEifQ=="/>
  </w:docVars>
  <w:rsids>
    <w:rsidRoot w:val="00000000"/>
    <w:rsid w:val="4AFF02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29</TotalTime>
  <ScaleCrop>false</ScaleCrop>
  <LinksUpToDate>false</LinksUpToDate>
  <CharactersWithSpaces>9461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lee</cp:lastModifiedBy>
  <dcterms:modified xsi:type="dcterms:W3CDTF">2023-03-22T05:27:53Z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