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0944-2021-Q-2023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重庆天鹄科技有限公司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重庆天鹄科技有限公司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重庆市九龙坡区科园一路3号</w:t>
            </w:r>
            <w:bookmarkEnd w:id="6"/>
          </w:p>
        </w:tc>
        <w:tc>
          <w:tcPr>
            <w:tcW w:w="1242" w:type="dxa"/>
            <w:vMerge w:val="restart"/>
            <w:vAlign w:val="center"/>
          </w:tcPr>
          <w:p>
            <w:r>
              <w:rPr>
                <w:rFonts w:hint="eastAsia"/>
              </w:rPr>
              <w:t>邮编</w:t>
            </w:r>
          </w:p>
        </w:tc>
        <w:tc>
          <w:tcPr>
            <w:tcW w:w="1771" w:type="dxa"/>
          </w:tcPr>
          <w:p>
            <w:bookmarkStart w:id="7" w:name="注册邮编"/>
            <w:r>
              <w:t>404100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重庆市九龙坡区石桥铺渝高大厦B座2单元11-9</w:t>
            </w:r>
            <w:bookmarkEnd w:id="8"/>
          </w:p>
        </w:tc>
        <w:tc>
          <w:tcPr>
            <w:tcW w:w="1242" w:type="dxa"/>
            <w:vMerge w:val="continue"/>
            <w:vAlign w:val="center"/>
          </w:tcPr>
          <w:p/>
        </w:tc>
        <w:tc>
          <w:tcPr>
            <w:tcW w:w="1771" w:type="dxa"/>
          </w:tcPr>
          <w:p>
            <w:bookmarkStart w:id="9" w:name="办公邮编"/>
            <w:r>
              <w:t>404100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刘阳</w:t>
            </w:r>
            <w:bookmarkEnd w:id="10"/>
          </w:p>
        </w:tc>
        <w:tc>
          <w:tcPr>
            <w:tcW w:w="1313" w:type="dxa"/>
            <w:vAlign w:val="center"/>
          </w:tcPr>
          <w:p>
            <w:r>
              <w:rPr>
                <w:rFonts w:hint="eastAsia"/>
              </w:rPr>
              <w:t>电话.</w:t>
            </w:r>
          </w:p>
        </w:tc>
        <w:tc>
          <w:tcPr>
            <w:tcW w:w="2180" w:type="dxa"/>
            <w:vAlign w:val="center"/>
          </w:tcPr>
          <w:p>
            <w:bookmarkStart w:id="11" w:name="联系人电话"/>
            <w:r>
              <w:t>13996074560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袁廉玉</w:t>
            </w:r>
            <w:bookmarkEnd w:id="13"/>
          </w:p>
        </w:tc>
        <w:tc>
          <w:tcPr>
            <w:tcW w:w="1313" w:type="dxa"/>
            <w:vAlign w:val="center"/>
          </w:tcPr>
          <w:p>
            <w:r>
              <w:rPr>
                <w:rFonts w:hint="eastAsia"/>
              </w:rPr>
              <w:t>管理者代表</w:t>
            </w:r>
          </w:p>
        </w:tc>
        <w:tc>
          <w:tcPr>
            <w:tcW w:w="2180" w:type="dxa"/>
          </w:tcPr>
          <w:p>
            <w:bookmarkStart w:id="14" w:name="管理者代表"/>
            <w:r>
              <w:t>刘阳</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2023年03月23日 上午至2023年03月23日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ascii="宋体" w:hAnsi="宋体" w:cs="宋体"/>
                <w:color w:val="000000"/>
                <w:kern w:val="0"/>
                <w:szCs w:val="21"/>
                <w:lang w:val="en-US" w:eastAsia="zh-CN"/>
              </w:rPr>
              <w:t>+恢复</w:t>
            </w:r>
            <w:bookmarkStart w:id="34" w:name="_GoBack"/>
            <w:bookmarkEnd w:id="34"/>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计算机信息系统集成，办公设备及耗材的销售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29.12.00;33.02.02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年月日</w:t>
            </w:r>
          </w:p>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组长</w:t>
            </w:r>
          </w:p>
        </w:tc>
        <w:tc>
          <w:tcPr>
            <w:tcW w:w="711" w:type="dxa"/>
            <w:vAlign w:val="center"/>
          </w:tcPr>
          <w:p>
            <w:r>
              <w:t>女</w:t>
            </w:r>
          </w:p>
        </w:tc>
        <w:tc>
          <w:tcPr>
            <w:tcW w:w="3870" w:type="dxa"/>
            <w:vAlign w:val="center"/>
          </w:tcPr>
          <w:p>
            <w:r>
              <w:t>2021-N1QMS-3207381</w:t>
            </w:r>
          </w:p>
        </w:tc>
        <w:tc>
          <w:tcPr>
            <w:tcW w:w="2179" w:type="dxa"/>
            <w:vAlign w:val="center"/>
          </w:tcPr>
          <w:p>
            <w:r>
              <w:t>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□价值观□文化□知识□绩效□工艺□设备□人员能力□其他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□市场拓展□设备能力□人员能力□检测水平□合同评审□知识保密</w:t>
            </w:r>
          </w:p>
          <w:p>
            <w:pPr>
              <w:shd w:val="clear" w:color="auto" w:fill="C7DAF1" w:themeFill="text2" w:themeFillTint="32"/>
              <w:spacing w:before="40" w:after="40"/>
            </w:pPr>
            <w:r>
              <w:rPr>
                <w:rFonts w:hint="eastAsia"/>
              </w:rPr>
              <w:t>□新产品设计开发□原材料采购□外部供方控制□生产/服务控制□其他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lang w:val="en-GB"/>
                    </w:rPr>
                  </w:pPr>
                </w:p>
              </w:tc>
              <w:tc>
                <w:tcPr>
                  <w:tcW w:w="1350" w:type="dxa"/>
                  <w:shd w:val="clear" w:color="auto" w:fill="auto"/>
                  <w:vAlign w:val="center"/>
                </w:tcPr>
                <w:p>
                  <w:pPr>
                    <w:shd w:val="clear" w:color="auto" w:fill="C7DAF1" w:themeFill="text2" w:themeFillTint="32"/>
                    <w:rPr>
                      <w:lang w:val="en-GB"/>
                    </w:rPr>
                  </w:pPr>
                </w:p>
              </w:tc>
              <w:tc>
                <w:tcPr>
                  <w:tcW w:w="1774" w:type="dxa"/>
                  <w:shd w:val="clear" w:color="auto" w:fill="auto"/>
                  <w:vAlign w:val="center"/>
                </w:tcPr>
                <w:p>
                  <w:pPr>
                    <w:shd w:val="clear" w:color="auto" w:fill="C7DAF1" w:themeFill="text2"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建筑面积平方米；生产车间个；库房个；实验室个；</w:t>
            </w:r>
          </w:p>
          <w:p>
            <w:pPr>
              <w:shd w:val="clear" w:color="auto" w:fill="C7DAF1" w:themeFill="text2" w:themeFillTint="32"/>
              <w:rPr>
                <w:u w:val="single"/>
              </w:rPr>
            </w:pPr>
            <w:r>
              <w:rPr>
                <w:rFonts w:hint="eastAsia"/>
              </w:rPr>
              <w:t>主要生产设备有：</w:t>
            </w:r>
            <w:r>
              <w:rPr>
                <w:rFonts w:hint="eastAsia"/>
                <w:u w:val="single"/>
              </w:rPr>
              <w:t>（列举2~4种）</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t>□以身作则□建立机制□法规宣传□风险机遇的应对□重视顾客反馈□其他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p>
              </w:tc>
              <w:tc>
                <w:tcPr>
                  <w:tcW w:w="1350" w:type="dxa"/>
                  <w:shd w:val="clear" w:color="auto" w:fill="auto"/>
                  <w:vAlign w:val="center"/>
                </w:tcPr>
                <w:p>
                  <w:pPr>
                    <w:shd w:val="clear" w:color="auto" w:fill="EBF1DE" w:themeFill="accent3" w:themeFillTint="32"/>
                    <w:rPr>
                      <w:lang w:val="en-GB"/>
                    </w:rPr>
                  </w:pPr>
                </w:p>
              </w:tc>
              <w:tc>
                <w:tcPr>
                  <w:tcW w:w="1774" w:type="dxa"/>
                  <w:shd w:val="clear" w:color="auto" w:fill="auto"/>
                  <w:vAlign w:val="center"/>
                </w:tcPr>
                <w:p>
                  <w:pPr>
                    <w:shd w:val="clear" w:color="auto" w:fill="EBF1DE" w:themeFill="accent3"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于年月日进行了的演练；并总结了预案的可行性和有效性。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定期（每年）：年月日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□法律法规□技术□竞争□市场□文化□社会□经济环境□其他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□认知□价值观□文化□知识□绩效□工艺□设备□人员能力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p>
          <w:p>
            <w:r>
              <w:rPr>
                <w:rFonts w:hint="eastAsia"/>
              </w:rPr>
              <w:t>安全的主管部门是——</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□机械伤害□触电□化学伤害□噪声□粉尘□危险作业□高低温□危化品泄露□压力容器爆炸□火灾□其他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lang w:val="en-GB"/>
                    </w:rPr>
                  </w:pPr>
                </w:p>
              </w:tc>
              <w:tc>
                <w:tcPr>
                  <w:tcW w:w="1350" w:type="dxa"/>
                  <w:shd w:val="clear" w:color="auto" w:fill="auto"/>
                  <w:vAlign w:val="center"/>
                </w:tcPr>
                <w:p>
                  <w:pPr>
                    <w:rPr>
                      <w:lang w:val="en-GB"/>
                    </w:rPr>
                  </w:pPr>
                </w:p>
              </w:tc>
              <w:tc>
                <w:tcPr>
                  <w:tcW w:w="1774" w:type="dxa"/>
                  <w:shd w:val="clear" w:color="auto" w:fill="auto"/>
                  <w:vAlign w:val="center"/>
                </w:tcPr>
                <w:p>
                  <w:pPr>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建筑面积平方米；生产车间个；库房个；实验室个；</w:t>
            </w:r>
          </w:p>
          <w:p>
            <w:pPr>
              <w:rPr>
                <w:u w:val="single"/>
              </w:rPr>
            </w:pPr>
            <w:r>
              <w:rPr>
                <w:rFonts w:hint="eastAsia"/>
              </w:rPr>
              <w:t>主要生产设备有：</w:t>
            </w:r>
            <w:r>
              <w:rPr>
                <w:rFonts w:hint="eastAsia"/>
                <w:u w:val="single"/>
              </w:rPr>
              <w:t>（列举2~4种）</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t>¨</w:t>
            </w:r>
            <w:r>
              <w:rPr>
                <w:rFonts w:hint="eastAsia"/>
              </w:rPr>
              <w:t>漏电开关</w:t>
            </w:r>
            <w:r>
              <w:rPr>
                <w:rFonts w:hint="eastAsia" w:ascii="Wingdings" w:hAnsi="Wingdings"/>
              </w:rPr>
              <w:t>¨</w:t>
            </w:r>
            <w:r>
              <w:rPr>
                <w:rFonts w:hint="eastAsia"/>
              </w:rPr>
              <w:t>报警系统</w:t>
            </w:r>
            <w:r>
              <w:rPr>
                <w:rFonts w:hint="eastAsia" w:ascii="Wingdings" w:hAnsi="Wingdings"/>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t>□漏电保护□绝缘用具检测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t>¨</w:t>
            </w:r>
            <w:r>
              <w:rPr>
                <w:rFonts w:hint="eastAsia"/>
              </w:rPr>
              <w:t>未发生</w:t>
            </w:r>
            <w:r>
              <w:rPr>
                <w:rFonts w:hint="eastAsia" w:ascii="Wingdings" w:hAnsi="Wingdings"/>
              </w:rPr>
              <w:t>¨</w:t>
            </w:r>
            <w:r>
              <w:rPr>
                <w:rFonts w:hint="eastAsia"/>
              </w:rPr>
              <w:t>已发生：。</w:t>
            </w:r>
          </w:p>
          <w:p/>
          <w:p>
            <w:r>
              <w:rPr>
                <w:rFonts w:hint="eastAsia"/>
              </w:rPr>
              <w:t>于年月日进行了的演练；并总结了预案的可行性和有效性。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定期（每年）：年月日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5071745</wp:posOffset>
              </wp:positionH>
              <wp:positionV relativeFrom="paragraph">
                <wp:posOffset>123190</wp:posOffset>
              </wp:positionV>
              <wp:extent cx="1249680" cy="256540"/>
              <wp:effectExtent l="0" t="0" r="7620" b="10160"/>
              <wp:wrapNone/>
              <wp:docPr id="1" name="文本框 1"/>
              <wp:cNvGraphicFramePr/>
              <a:graphic xmlns:a="http://schemas.openxmlformats.org/drawingml/2006/main">
                <a:graphicData uri="http://schemas.microsoft.com/office/word/2010/wordprocessingShape">
                  <wps:wsp>
                    <wps:cNvSpPr txBox="1"/>
                    <wps:spPr>
                      <a:xfrm>
                        <a:off x="0" y="0"/>
                        <a:ext cx="1249680" cy="256540"/>
                      </a:xfrm>
                      <a:prstGeom prst="rect">
                        <a:avLst/>
                      </a:prstGeom>
                      <a:solidFill>
                        <a:srgbClr val="FFFFFF"/>
                      </a:solidFill>
                      <a:ln>
                        <a:noFill/>
                      </a:ln>
                    </wps:spPr>
                    <wps:txb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wps:txbx>
                    <wps:bodyPr upright="1"/>
                  </wps:wsp>
                </a:graphicData>
              </a:graphic>
            </wp:anchor>
          </w:drawing>
        </mc:Choice>
        <mc:Fallback>
          <w:pict>
            <v:shape id="_x0000_s1026" o:spid="_x0000_s1026" o:spt="202" type="#_x0000_t202" style="position:absolute;left:0pt;margin-left:399.35pt;margin-top:9.7pt;height:20.2pt;width:98.4pt;z-index:251659264;mso-width-relative:page;mso-height-relative:page;" fillcolor="#FFFFFF" filled="t" stroked="f" coordsize="21600,21600" o:gfxdata="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vmK93XAAAACQEAAA8AAAAAAAAAAQAgAAAAIgAAAGRycy9kb3ducmV2Lnht&#10;bFBLAQIUABQAAAAIAIdO4kBeG0v5wQEAAHcDAAAOAAAAAAAAAAEAIAAAACYBAABkcnMvZTJvRG9j&#10;LnhtbFBLBQYAAAAABgAGAFkBAABZBQAAAAA=&#10;">
              <v:fill on="t" focussize="0,0"/>
              <v:stroke on="f"/>
              <v:imagedata o:title=""/>
              <o:lock v:ext="edit" aspectratio="f"/>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mc:Fallback>
      </mc:AlternateConten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165135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18578</Words>
  <Characters>19267</Characters>
  <Lines>150</Lines>
  <Paragraphs>42</Paragraphs>
  <TotalTime>0</TotalTime>
  <ScaleCrop>false</ScaleCrop>
  <LinksUpToDate>false</LinksUpToDate>
  <CharactersWithSpaces>19388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三 木</cp:lastModifiedBy>
  <cp:lastPrinted>2019-05-13T03:19:00Z</cp:lastPrinted>
  <dcterms:modified xsi:type="dcterms:W3CDTF">2023-03-20T08:50:44Z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43300E3E3C974208A906CA62D23BCD27</vt:lpwstr>
  </property>
  <property fmtid="{D5CDD505-2E9C-101B-9397-08002B2CF9AE}" pid="3" name="KSOProductBuildVer">
    <vt:lpwstr>2052-11.1.0.13703</vt:lpwstr>
  </property>
</Properties>
</file>