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重庆食聚熙餐饮管理有限公司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30302-2023-QEO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冉景洲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2020-N1QMS-1267598</w:t>
            </w:r>
          </w:p>
          <w:p w:rsidR="002D4D32">
            <w:pPr>
              <w:snapToGrid w:val="0"/>
              <w:spacing w:line="320" w:lineRule="exact"/>
              <w:ind w:left="1309"/>
              <w:rPr>
                <w:sz w:val="22"/>
                <w:szCs w:val="22"/>
                <w:highlight w:val="yellow"/>
              </w:rPr>
            </w:pPr>
            <w:r>
              <w:rPr>
                <w:sz w:val="22"/>
                <w:szCs w:val="22"/>
                <w:highlight w:val="yellow"/>
              </w:rPr>
              <w:t>2020-N1EMS-1267598</w:t>
            </w:r>
          </w:p>
          <w:p w:rsidR="002D4D32">
            <w:pPr>
              <w:snapToGrid w:val="0"/>
              <w:spacing w:line="320" w:lineRule="exact"/>
              <w:ind w:left="1309"/>
              <w:rPr>
                <w:sz w:val="22"/>
                <w:szCs w:val="22"/>
                <w:highlight w:val="yellow"/>
              </w:rPr>
            </w:pPr>
            <w:r>
              <w:rPr>
                <w:sz w:val="22"/>
                <w:szCs w:val="22"/>
                <w:highlight w:val="yellow"/>
              </w:rPr>
              <w:t>2021-N1OHSMS-1267598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2021-N1QMS-2230067</w:t>
            </w:r>
          </w:p>
          <w:p w:rsidR="002D4D32">
            <w:pPr>
              <w:snapToGrid w:val="0"/>
              <w:spacing w:line="320" w:lineRule="exact"/>
              <w:ind w:left="1309"/>
              <w:rPr>
                <w:sz w:val="22"/>
                <w:szCs w:val="22"/>
                <w:highlight w:val="yellow"/>
              </w:rPr>
            </w:pPr>
            <w:r>
              <w:rPr>
                <w:sz w:val="22"/>
                <w:szCs w:val="22"/>
                <w:highlight w:val="yellow"/>
              </w:rPr>
              <w:t>2021-N1EMS-2230067</w:t>
            </w:r>
          </w:p>
          <w:p w:rsidR="002D4D32">
            <w:pPr>
              <w:snapToGrid w:val="0"/>
              <w:spacing w:line="320" w:lineRule="exact"/>
              <w:ind w:left="1309"/>
              <w:rPr>
                <w:sz w:val="22"/>
                <w:szCs w:val="22"/>
                <w:highlight w:val="yellow"/>
              </w:rPr>
            </w:pPr>
            <w:r>
              <w:rPr>
                <w:sz w:val="22"/>
                <w:szCs w:val="22"/>
                <w:highlight w:val="yellow"/>
              </w:rPr>
              <w:t>2021-N1OHSMS-2230067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周正</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ISC-JSZJ-626</w:t>
            </w:r>
          </w:p>
          <w:p w:rsidR="002D4D32">
            <w:pPr>
              <w:snapToGrid w:val="0"/>
              <w:spacing w:line="320" w:lineRule="exact"/>
              <w:ind w:left="1309"/>
              <w:rPr>
                <w:sz w:val="22"/>
                <w:szCs w:val="22"/>
                <w:highlight w:val="yellow"/>
              </w:rPr>
            </w:pPr>
            <w:r>
              <w:rPr>
                <w:sz w:val="22"/>
                <w:szCs w:val="22"/>
                <w:highlight w:val="yellow"/>
              </w:rPr>
              <w:t>ISC-JSZJ-626</w:t>
            </w:r>
          </w:p>
          <w:p w:rsidR="002D4D32">
            <w:pPr>
              <w:snapToGrid w:val="0"/>
              <w:spacing w:line="320" w:lineRule="exact"/>
              <w:ind w:left="1309"/>
              <w:rPr>
                <w:sz w:val="22"/>
                <w:szCs w:val="22"/>
                <w:highlight w:val="yellow"/>
              </w:rPr>
            </w:pPr>
            <w:r>
              <w:rPr>
                <w:sz w:val="22"/>
                <w:szCs w:val="22"/>
                <w:highlight w:val="yellow"/>
              </w:rPr>
              <w:t>ISC-JSZJ-626</w:t>
            </w:r>
          </w:p>
          <w:p w:rsidR="002D4D32">
            <w:pPr>
              <w:snapToGrid w:val="0"/>
              <w:spacing w:line="320" w:lineRule="exact"/>
              <w:ind w:left="1309"/>
              <w:rPr>
                <w:sz w:val="22"/>
                <w:szCs w:val="22"/>
                <w:highlight w:val="yellow"/>
              </w:rPr>
            </w:pPr>
            <w:r>
              <w:rPr>
                <w:sz w:val="22"/>
                <w:szCs w:val="22"/>
                <w:highlight w:val="yellow"/>
              </w:rPr>
              <w:t>重庆食味餐饮管理服务有限公司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2021-N1QMS-3207381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