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164"/>
        <w:gridCol w:w="10809"/>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6" w:type="dxa"/>
            <w:vMerge w:val="restart"/>
            <w:vAlign w:val="center"/>
          </w:tcPr>
          <w:p>
            <w:pPr>
              <w:spacing w:before="120" w:line="360" w:lineRule="auto"/>
              <w:jc w:val="center"/>
              <w:rPr>
                <w:sz w:val="24"/>
                <w:szCs w:val="24"/>
              </w:rPr>
            </w:pPr>
            <w:r>
              <w:rPr>
                <w:rFonts w:hint="eastAsia"/>
                <w:sz w:val="24"/>
                <w:szCs w:val="24"/>
              </w:rPr>
              <w:t>过程与活动、</w:t>
            </w:r>
          </w:p>
          <w:p>
            <w:pPr>
              <w:spacing w:line="360" w:lineRule="auto"/>
              <w:jc w:val="center"/>
            </w:pPr>
            <w:r>
              <w:rPr>
                <w:rFonts w:hint="eastAsia"/>
                <w:sz w:val="24"/>
                <w:szCs w:val="24"/>
              </w:rPr>
              <w:t>抽样计划</w:t>
            </w:r>
          </w:p>
        </w:tc>
        <w:tc>
          <w:tcPr>
            <w:tcW w:w="1164" w:type="dxa"/>
            <w:vMerge w:val="restart"/>
            <w:vAlign w:val="center"/>
          </w:tcPr>
          <w:p>
            <w:pPr>
              <w:spacing w:line="360" w:lineRule="auto"/>
              <w:rPr>
                <w:sz w:val="24"/>
                <w:szCs w:val="24"/>
              </w:rPr>
            </w:pPr>
            <w:r>
              <w:rPr>
                <w:rFonts w:hint="eastAsia"/>
                <w:sz w:val="24"/>
                <w:szCs w:val="24"/>
              </w:rPr>
              <w:t>涉及</w:t>
            </w:r>
          </w:p>
          <w:p>
            <w:pPr>
              <w:spacing w:line="360" w:lineRule="auto"/>
            </w:pPr>
            <w:r>
              <w:rPr>
                <w:rFonts w:hint="eastAsia"/>
                <w:sz w:val="24"/>
                <w:szCs w:val="24"/>
              </w:rPr>
              <w:t>条款</w:t>
            </w:r>
          </w:p>
        </w:tc>
        <w:tc>
          <w:tcPr>
            <w:tcW w:w="10809" w:type="dxa"/>
            <w:vAlign w:val="center"/>
          </w:tcPr>
          <w:p>
            <w:pPr>
              <w:spacing w:line="360" w:lineRule="auto"/>
              <w:rPr>
                <w:rFonts w:hint="eastAsia" w:eastAsia="宋体"/>
                <w:sz w:val="24"/>
                <w:szCs w:val="24"/>
                <w:lang w:eastAsia="zh-CN"/>
              </w:rPr>
            </w:pPr>
            <w:r>
              <w:rPr>
                <w:rFonts w:hint="eastAsia"/>
                <w:sz w:val="24"/>
                <w:szCs w:val="24"/>
              </w:rPr>
              <w:t xml:space="preserve">受审核部门： </w:t>
            </w:r>
            <w:r>
              <w:rPr>
                <w:rFonts w:hint="eastAsia"/>
                <w:sz w:val="24"/>
                <w:szCs w:val="24"/>
                <w:lang w:eastAsia="zh-CN"/>
              </w:rPr>
              <w:t>综合部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李霞</w:t>
            </w:r>
            <w:r>
              <w:rPr>
                <w:rFonts w:hint="eastAsia"/>
                <w:sz w:val="24"/>
                <w:szCs w:val="24"/>
              </w:rPr>
              <w:t xml:space="preserve"> </w:t>
            </w:r>
            <w:r>
              <w:rPr>
                <w:sz w:val="24"/>
                <w:szCs w:val="24"/>
              </w:rPr>
              <w:t xml:space="preserve">    </w:t>
            </w:r>
            <w:r>
              <w:rPr>
                <w:rFonts w:hint="eastAsia"/>
                <w:sz w:val="24"/>
                <w:szCs w:val="24"/>
              </w:rPr>
              <w:t xml:space="preserve"> 陪同</w:t>
            </w:r>
            <w:r>
              <w:rPr>
                <w:rFonts w:hint="eastAsia" w:eastAsia="宋体"/>
                <w:sz w:val="24"/>
                <w:szCs w:val="24"/>
              </w:rPr>
              <w:t>人员：</w:t>
            </w:r>
            <w:r>
              <w:rPr>
                <w:rFonts w:hint="eastAsia"/>
                <w:sz w:val="24"/>
                <w:szCs w:val="24"/>
                <w:lang w:eastAsia="zh-CN"/>
              </w:rPr>
              <w:t>王培</w:t>
            </w:r>
          </w:p>
        </w:tc>
        <w:tc>
          <w:tcPr>
            <w:tcW w:w="780" w:type="dxa"/>
            <w:vMerge w:val="restart"/>
            <w:vAlign w:val="center"/>
          </w:tcPr>
          <w:p>
            <w:pPr>
              <w:spacing w:line="360" w:lineRule="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56" w:type="dxa"/>
            <w:vMerge w:val="continue"/>
            <w:vAlign w:val="center"/>
          </w:tcPr>
          <w:p>
            <w:pPr>
              <w:spacing w:line="360" w:lineRule="auto"/>
            </w:pPr>
          </w:p>
        </w:tc>
        <w:tc>
          <w:tcPr>
            <w:tcW w:w="1164" w:type="dxa"/>
            <w:vMerge w:val="continue"/>
            <w:vAlign w:val="center"/>
          </w:tcPr>
          <w:p>
            <w:pPr>
              <w:spacing w:line="360" w:lineRule="auto"/>
            </w:pPr>
          </w:p>
        </w:tc>
        <w:tc>
          <w:tcPr>
            <w:tcW w:w="10809" w:type="dxa"/>
            <w:vAlign w:val="center"/>
          </w:tcPr>
          <w:p>
            <w:pPr>
              <w:spacing w:before="120" w:line="360" w:lineRule="auto"/>
            </w:pPr>
            <w:r>
              <w:rPr>
                <w:rFonts w:hint="eastAsia"/>
                <w:sz w:val="24"/>
                <w:szCs w:val="24"/>
              </w:rPr>
              <w:t>审核员：</w:t>
            </w:r>
            <w:bookmarkStart w:id="0" w:name="审核组成员不含组长"/>
            <w:r>
              <w:rPr>
                <w:rFonts w:hint="eastAsia"/>
                <w:sz w:val="24"/>
                <w:szCs w:val="24"/>
                <w:lang w:eastAsia="zh-CN"/>
              </w:rPr>
              <w:t>赵丽萍、</w:t>
            </w:r>
            <w:r>
              <w:rPr>
                <w:rFonts w:hint="eastAsia"/>
                <w:sz w:val="24"/>
                <w:szCs w:val="24"/>
              </w:rPr>
              <w:t>范治康</w:t>
            </w:r>
            <w:bookmarkEnd w:id="0"/>
            <w:r>
              <w:rPr>
                <w:rFonts w:hint="eastAsia"/>
                <w:sz w:val="24"/>
                <w:szCs w:val="24"/>
                <w:lang w:val="en-US" w:eastAsia="zh-CN"/>
              </w:rPr>
              <w:t xml:space="preserve">      </w:t>
            </w:r>
            <w:r>
              <w:rPr>
                <w:rFonts w:hint="eastAsia"/>
                <w:sz w:val="24"/>
                <w:szCs w:val="24"/>
              </w:rPr>
              <w:t>审核时间：</w:t>
            </w:r>
            <w:bookmarkStart w:id="1" w:name="审核日期"/>
            <w:r>
              <w:t>2023年03月13日</w:t>
            </w:r>
            <w:bookmarkEnd w:id="1"/>
          </w:p>
        </w:tc>
        <w:tc>
          <w:tcPr>
            <w:tcW w:w="780" w:type="dxa"/>
            <w:vMerge w:val="continue"/>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6" w:type="dxa"/>
            <w:vMerge w:val="continue"/>
            <w:vAlign w:val="center"/>
          </w:tcPr>
          <w:p>
            <w:pPr>
              <w:spacing w:line="360" w:lineRule="auto"/>
            </w:pPr>
          </w:p>
        </w:tc>
        <w:tc>
          <w:tcPr>
            <w:tcW w:w="1164" w:type="dxa"/>
            <w:vMerge w:val="continue"/>
            <w:vAlign w:val="center"/>
          </w:tcPr>
          <w:p>
            <w:pPr>
              <w:spacing w:line="360" w:lineRule="auto"/>
            </w:pPr>
          </w:p>
        </w:tc>
        <w:tc>
          <w:tcPr>
            <w:tcW w:w="10809" w:type="dxa"/>
            <w:vAlign w:val="center"/>
          </w:tcPr>
          <w:p>
            <w:pPr>
              <w:spacing w:before="120" w:line="360" w:lineRule="auto"/>
              <w:rPr>
                <w:rFonts w:hint="eastAsia"/>
              </w:rPr>
            </w:pPr>
            <w:r>
              <w:rPr>
                <w:rFonts w:hint="eastAsia"/>
              </w:rPr>
              <w:t>审核条款：</w:t>
            </w:r>
          </w:p>
          <w:p>
            <w:pPr>
              <w:jc w:val="left"/>
              <w:rPr>
                <w:rFonts w:hint="eastAsia"/>
                <w:sz w:val="21"/>
                <w:szCs w:val="21"/>
              </w:rPr>
            </w:pPr>
            <w:r>
              <w:rPr>
                <w:rFonts w:hint="eastAsia"/>
                <w:sz w:val="21"/>
                <w:szCs w:val="21"/>
              </w:rPr>
              <w:t>E:5.3/</w:t>
            </w:r>
            <w:r>
              <w:rPr>
                <w:rFonts w:hint="eastAsia"/>
                <w:sz w:val="21"/>
                <w:szCs w:val="21"/>
                <w:lang w:val="en-US" w:eastAsia="zh-CN"/>
              </w:rPr>
              <w:t>6.1.2/6.1.3/</w:t>
            </w:r>
            <w:r>
              <w:rPr>
                <w:rFonts w:hint="eastAsia"/>
                <w:sz w:val="21"/>
                <w:szCs w:val="21"/>
              </w:rPr>
              <w:t>6.2/</w:t>
            </w:r>
            <w:r>
              <w:rPr>
                <w:rFonts w:hint="eastAsia"/>
                <w:sz w:val="21"/>
                <w:szCs w:val="21"/>
                <w:lang w:val="en-US" w:eastAsia="zh-CN"/>
              </w:rPr>
              <w:t>8.1/</w:t>
            </w:r>
            <w:r>
              <w:rPr>
                <w:rFonts w:hint="eastAsia"/>
                <w:sz w:val="21"/>
                <w:szCs w:val="21"/>
              </w:rPr>
              <w:t>8.2/</w:t>
            </w:r>
            <w:r>
              <w:rPr>
                <w:rFonts w:hint="eastAsia"/>
                <w:sz w:val="21"/>
                <w:szCs w:val="21"/>
                <w:lang w:val="en-US" w:eastAsia="zh-CN"/>
              </w:rPr>
              <w:t>9.1.2/9.2/10.2</w:t>
            </w:r>
            <w:r>
              <w:rPr>
                <w:rFonts w:hint="eastAsia"/>
                <w:sz w:val="21"/>
                <w:szCs w:val="21"/>
              </w:rPr>
              <w:t>；</w:t>
            </w:r>
          </w:p>
          <w:p>
            <w:pPr>
              <w:pStyle w:val="2"/>
            </w:pPr>
            <w:r>
              <w:rPr>
                <w:rFonts w:hint="eastAsia"/>
                <w:sz w:val="21"/>
                <w:szCs w:val="21"/>
                <w:lang w:val="en-US" w:eastAsia="zh-CN"/>
              </w:rPr>
              <w:t>O</w:t>
            </w:r>
            <w:r>
              <w:rPr>
                <w:rFonts w:hint="eastAsia"/>
                <w:sz w:val="21"/>
                <w:szCs w:val="21"/>
              </w:rPr>
              <w:t>:5</w:t>
            </w:r>
            <w:r>
              <w:rPr>
                <w:rFonts w:hint="eastAsia"/>
                <w:sz w:val="21"/>
                <w:szCs w:val="21"/>
                <w:lang w:val="en-US" w:eastAsia="zh-CN"/>
              </w:rPr>
              <w:t>.3</w:t>
            </w:r>
            <w:r>
              <w:rPr>
                <w:rFonts w:hint="eastAsia"/>
                <w:sz w:val="21"/>
                <w:szCs w:val="21"/>
              </w:rPr>
              <w:t>./</w:t>
            </w:r>
            <w:r>
              <w:rPr>
                <w:rFonts w:hint="eastAsia"/>
                <w:sz w:val="21"/>
                <w:szCs w:val="21"/>
                <w:lang w:val="en-US" w:eastAsia="zh-CN"/>
              </w:rPr>
              <w:t>6.1.2/6.1.3/</w:t>
            </w:r>
            <w:r>
              <w:rPr>
                <w:rFonts w:hint="eastAsia"/>
                <w:sz w:val="21"/>
                <w:szCs w:val="21"/>
              </w:rPr>
              <w:t>6.2/8.1.1/8.1.2/8.1.3</w:t>
            </w:r>
            <w:r>
              <w:rPr>
                <w:rFonts w:hint="eastAsia"/>
                <w:sz w:val="21"/>
                <w:szCs w:val="21"/>
                <w:lang w:val="en-US" w:eastAsia="zh-CN"/>
              </w:rPr>
              <w:t>/</w:t>
            </w:r>
            <w:r>
              <w:rPr>
                <w:rFonts w:hint="eastAsia"/>
                <w:sz w:val="21"/>
                <w:szCs w:val="21"/>
              </w:rPr>
              <w:t>8.2/</w:t>
            </w:r>
            <w:r>
              <w:rPr>
                <w:rFonts w:hint="eastAsia"/>
                <w:sz w:val="21"/>
                <w:szCs w:val="21"/>
                <w:lang w:val="en-US" w:eastAsia="zh-CN"/>
              </w:rPr>
              <w:t>9.1.2/9.2/</w:t>
            </w:r>
            <w:r>
              <w:rPr>
                <w:rFonts w:hint="eastAsia"/>
                <w:sz w:val="21"/>
                <w:szCs w:val="21"/>
              </w:rPr>
              <w:t>10.2；</w:t>
            </w:r>
          </w:p>
        </w:tc>
        <w:tc>
          <w:tcPr>
            <w:tcW w:w="780" w:type="dxa"/>
            <w:vMerge w:val="continue"/>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组织的岗位、职责权限</w:t>
            </w:r>
          </w:p>
        </w:tc>
        <w:tc>
          <w:tcPr>
            <w:tcW w:w="1164"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EO</w:t>
            </w:r>
            <w:r>
              <w:rPr>
                <w:rFonts w:hint="eastAsia" w:asciiTheme="minorEastAsia" w:hAnsiTheme="minorEastAsia" w:eastAsiaTheme="minorEastAsia" w:cstheme="minorEastAsia"/>
                <w:sz w:val="21"/>
                <w:szCs w:val="21"/>
              </w:rPr>
              <w:t>5.3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10809" w:type="dxa"/>
          </w:tcPr>
          <w:p>
            <w:pPr>
              <w:keepNext w:val="0"/>
              <w:keepLines w:val="0"/>
              <w:pageBreakBefore w:val="0"/>
              <w:widowControl w:val="0"/>
              <w:kinsoku/>
              <w:wordWrap/>
              <w:overflowPunct/>
              <w:topLinePunct w:val="0"/>
              <w:autoSpaceDE/>
              <w:autoSpaceDN/>
              <w:bidi w:val="0"/>
              <w:adjustRightInd/>
              <w:snapToGrid/>
              <w:spacing w:line="360" w:lineRule="auto"/>
              <w:ind w:right="422" w:rightChars="20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通过与负责人沟通了解到，综合部主要职责为：</w:t>
            </w:r>
            <w:r>
              <w:rPr>
                <w:rFonts w:hint="eastAsia" w:asciiTheme="minorEastAsia" w:hAnsiTheme="minorEastAsia" w:eastAsiaTheme="minorEastAsia" w:cstheme="minorEastAsia"/>
                <w:sz w:val="21"/>
                <w:szCs w:val="21"/>
              </w:rPr>
              <w:t>负责组织各部门编制该部门内岗位职责；负责培训计划的制定及监督实施，组织对培训效果进行评估；负责公司的环境</w:t>
            </w:r>
            <w:r>
              <w:rPr>
                <w:rFonts w:hint="eastAsia" w:asciiTheme="minorEastAsia" w:hAnsiTheme="minorEastAsia" w:eastAsiaTheme="minorEastAsia" w:cstheme="minorEastAsia"/>
                <w:sz w:val="21"/>
                <w:szCs w:val="21"/>
                <w:lang w:eastAsia="zh-CN"/>
              </w:rPr>
              <w:t>安全</w:t>
            </w:r>
            <w:r>
              <w:rPr>
                <w:rFonts w:hint="eastAsia" w:asciiTheme="minorEastAsia" w:hAnsiTheme="minorEastAsia" w:eastAsiaTheme="minorEastAsia" w:cstheme="minorEastAsia"/>
                <w:sz w:val="21"/>
                <w:szCs w:val="21"/>
              </w:rPr>
              <w:t>法规收集和合规性评价；负责组织各部门进行环境因素</w:t>
            </w:r>
            <w:r>
              <w:rPr>
                <w:rFonts w:hint="eastAsia" w:asciiTheme="minorEastAsia" w:hAnsiTheme="minorEastAsia" w:eastAsiaTheme="minorEastAsia" w:cstheme="minorEastAsia"/>
                <w:sz w:val="21"/>
                <w:szCs w:val="21"/>
                <w:lang w:eastAsia="zh-CN"/>
              </w:rPr>
              <w:t>、危险源</w:t>
            </w:r>
            <w:r>
              <w:rPr>
                <w:rFonts w:hint="eastAsia" w:asciiTheme="minorEastAsia" w:hAnsiTheme="minorEastAsia" w:eastAsiaTheme="minorEastAsia" w:cstheme="minorEastAsia"/>
                <w:sz w:val="21"/>
                <w:szCs w:val="21"/>
              </w:rPr>
              <w:t>识别和评价；负责制订公司的环境</w:t>
            </w:r>
            <w:r>
              <w:rPr>
                <w:rFonts w:hint="eastAsia" w:asciiTheme="minorEastAsia" w:hAnsiTheme="minorEastAsia" w:eastAsiaTheme="minorEastAsia" w:cstheme="minorEastAsia"/>
                <w:sz w:val="21"/>
                <w:szCs w:val="21"/>
                <w:lang w:eastAsia="zh-CN"/>
              </w:rPr>
              <w:t>安全</w:t>
            </w:r>
            <w:r>
              <w:rPr>
                <w:rFonts w:hint="eastAsia" w:asciiTheme="minorEastAsia" w:hAnsiTheme="minorEastAsia" w:eastAsiaTheme="minorEastAsia" w:cstheme="minorEastAsia"/>
                <w:sz w:val="21"/>
                <w:szCs w:val="21"/>
              </w:rPr>
              <w:t>管理方案并监督各部门实施；负责参与公司应急演练。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与综合部负责人沟通，对其职责和权限清楚。</w:t>
            </w:r>
          </w:p>
        </w:tc>
        <w:tc>
          <w:tcPr>
            <w:tcW w:w="780" w:type="dxa"/>
          </w:tcPr>
          <w:p>
            <w:pPr>
              <w:spacing w:line="360" w:lineRule="auto"/>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9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目标、指标管理方案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1164"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EO</w:t>
            </w:r>
            <w:r>
              <w:rPr>
                <w:rFonts w:hint="eastAsia" w:asciiTheme="minorEastAsia" w:hAnsiTheme="minorEastAsia" w:eastAsiaTheme="minorEastAsia" w:cstheme="minorEastAsia"/>
                <w:sz w:val="21"/>
                <w:szCs w:val="21"/>
              </w:rPr>
              <w:t xml:space="preserve">6.2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10809" w:type="dxa"/>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执行《管理手册》及《目标完成情况统计表》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部门目标：                         考核情况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1、固体废弃物100%分类，合理处理</w:t>
            </w:r>
            <w:r>
              <w:rPr>
                <w:rFonts w:hint="eastAsia" w:asciiTheme="minorEastAsia" w:hAnsiTheme="minorEastAsia" w:eastAsiaTheme="minorEastAsia" w:cstheme="minorEastAsia"/>
                <w:sz w:val="21"/>
                <w:szCs w:val="21"/>
                <w:lang w:val="en-US" w:eastAsia="zh-CN"/>
              </w:rPr>
              <w:t xml:space="preserve">      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kern w:val="0"/>
                <w:sz w:val="21"/>
                <w:szCs w:val="21"/>
                <w:lang w:val="en-US" w:eastAsia="zh-CN"/>
              </w:rPr>
            </w:pPr>
            <w:r>
              <w:rPr>
                <w:rFonts w:hint="eastAsia" w:asciiTheme="minorEastAsia" w:hAnsiTheme="minorEastAsia" w:eastAsiaTheme="minorEastAsia" w:cstheme="minorEastAsia"/>
                <w:sz w:val="21"/>
                <w:szCs w:val="21"/>
              </w:rPr>
              <w:t>2、无重大环境投诉</w:t>
            </w:r>
            <w:r>
              <w:rPr>
                <w:rFonts w:hint="eastAsia" w:asciiTheme="minorEastAsia" w:hAnsiTheme="minorEastAsia" w:eastAsiaTheme="minorEastAsia" w:cstheme="minorEastAsia"/>
                <w:sz w:val="21"/>
                <w:szCs w:val="21"/>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、灭火器配置率100％</w:t>
            </w:r>
            <w:r>
              <w:rPr>
                <w:rFonts w:hint="eastAsia" w:asciiTheme="minorEastAsia" w:hAnsiTheme="minorEastAsia" w:eastAsiaTheme="minorEastAsia" w:cstheme="minorEastAsia"/>
                <w:sz w:val="21"/>
                <w:szCs w:val="21"/>
                <w:lang w:val="en-US" w:eastAsia="zh-CN"/>
              </w:rPr>
              <w:t xml:space="preserve">                 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4、各类重伤以上事故发生率为零          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5、触电事故发生率为零                  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查看</w:t>
            </w:r>
            <w:r>
              <w:rPr>
                <w:rFonts w:hint="eastAsia" w:asciiTheme="minorEastAsia" w:hAnsiTheme="minorEastAsia" w:eastAsiaTheme="minorEastAsia" w:cstheme="minorEastAsia"/>
                <w:color w:val="auto"/>
                <w:sz w:val="21"/>
                <w:szCs w:val="21"/>
              </w:rPr>
              <w:t>202</w:t>
            </w:r>
            <w:r>
              <w:rPr>
                <w:rFonts w:hint="eastAsia" w:asciiTheme="minorEastAsia" w:hAnsiTheme="minorEastAsia" w:eastAsiaTheme="minorEastAsia" w:cstheme="minorEastAsia"/>
                <w:color w:val="auto"/>
                <w:sz w:val="21"/>
                <w:szCs w:val="21"/>
                <w:lang w:val="en-US" w:eastAsia="zh-CN"/>
              </w:rPr>
              <w:t>2年12月30日</w:t>
            </w:r>
            <w:r>
              <w:rPr>
                <w:rFonts w:hint="eastAsia" w:asciiTheme="minorEastAsia" w:hAnsiTheme="minorEastAsia" w:eastAsiaTheme="minorEastAsia" w:cstheme="minorEastAsia"/>
                <w:color w:val="auto"/>
                <w:sz w:val="21"/>
                <w:szCs w:val="21"/>
              </w:rPr>
              <w:t>目标</w:t>
            </w:r>
            <w:r>
              <w:rPr>
                <w:rFonts w:hint="eastAsia" w:asciiTheme="minorEastAsia" w:hAnsiTheme="minorEastAsia" w:eastAsiaTheme="minorEastAsia" w:cstheme="minorEastAsia"/>
                <w:color w:val="auto"/>
                <w:sz w:val="21"/>
                <w:szCs w:val="21"/>
                <w:lang w:val="en-US" w:eastAsia="zh-CN"/>
              </w:rPr>
              <w:t>完成情况统考，</w:t>
            </w:r>
            <w:r>
              <w:rPr>
                <w:rFonts w:hint="eastAsia" w:asciiTheme="minorEastAsia" w:hAnsiTheme="minorEastAsia" w:eastAsiaTheme="minorEastAsia" w:cstheme="minorEastAsia"/>
                <w:color w:val="auto"/>
                <w:sz w:val="21"/>
                <w:szCs w:val="21"/>
              </w:rPr>
              <w:t>均符合指标要求。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对以上的目标指标制定了管理方案：</w:t>
            </w:r>
          </w:p>
        </w:tc>
        <w:tc>
          <w:tcPr>
            <w:tcW w:w="780" w:type="dxa"/>
          </w:tcPr>
          <w:p>
            <w:pPr>
              <w:spacing w:line="360" w:lineRule="auto"/>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9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应对风险和机遇的措施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1164"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EO</w:t>
            </w:r>
            <w:r>
              <w:rPr>
                <w:rFonts w:hint="eastAsia" w:asciiTheme="minorEastAsia" w:hAnsiTheme="minorEastAsia" w:eastAsiaTheme="minorEastAsia" w:cstheme="minorEastAsia"/>
                <w:sz w:val="21"/>
                <w:szCs w:val="21"/>
              </w:rPr>
              <w:t>6.1.1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1080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制定了《</w:t>
            </w:r>
            <w:r>
              <w:rPr>
                <w:rFonts w:hint="eastAsia" w:asciiTheme="minorEastAsia" w:hAnsiTheme="minorEastAsia" w:eastAsiaTheme="minorEastAsia" w:cstheme="minorEastAsia"/>
                <w:sz w:val="21"/>
                <w:szCs w:val="21"/>
                <w:lang w:eastAsia="zh-CN"/>
              </w:rPr>
              <w:t>风险和机遇应对控制程序</w:t>
            </w:r>
            <w:r>
              <w:rPr>
                <w:rFonts w:hint="eastAsia" w:asciiTheme="minorEastAsia" w:hAnsiTheme="minorEastAsia" w:eastAsiaTheme="minorEastAsia" w:cstheme="minorEastAsia"/>
                <w:sz w:val="21"/>
                <w:szCs w:val="21"/>
              </w:rPr>
              <w:t>》，提供“风险与机遇评价与应对策划表”，</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外部环境：</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风险和机遇    应对措施</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法律法规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产品符合性要求的提升；竞争对手存在同样的困难</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市场竞争情况  市场竞争加剧带来的成本压力会引发风险；竞争会促进公司管理的提升</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市场形势</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市场波动引发质量保证的困难；市场形势良好会带来稳定的品控环境</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市场容量</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对市场容量的调查所采用的方法不合适，没有准确的弄清市场对象对产品和服务的用量，使得产品和服务的产量大于实际需求，而增加公司的投资风险。</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经济形势</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国内经济形势下滑</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社会责任</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公众对社会责任期望的提升会促进质量管理的提升</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产业发展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客户需求及新技术发展变化带来的产品需求的变化；产业发展会带动供应链和技术的发展，有更好的经营环境</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内部环境:</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风险和机遇                                应对措施</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良好的公司文化为体系的建设提供基础</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创造良好的企业工作范围</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绩效压力所引发的成本压力会带来风险         努力提高客户满意度，节能减排</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各岗位主要人员的离职等风险。    </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组织培训，通过自学/外培等方式进一步提高管理团队经验.</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多层次的构架，带来沟通与决策上的复杂性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管理层建立简单、直观和有效的组织架构。</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融资/筹资过程中的风险,资金回收过程中的风险。</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合理投资，根据组织的实力进行融资,销售人员及时跟顾客沟通，争取应收账款及时到账。</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另外分析了利益相关方的风险等。评审人</w:t>
            </w:r>
            <w:r>
              <w:rPr>
                <w:rFonts w:hint="eastAsia" w:asciiTheme="minorEastAsia" w:hAnsiTheme="minorEastAsia" w:eastAsiaTheme="minorEastAsia" w:cstheme="minorEastAsia"/>
                <w:sz w:val="21"/>
                <w:szCs w:val="21"/>
                <w:lang w:eastAsia="zh-CN"/>
              </w:rPr>
              <w:t>：李霞</w:t>
            </w:r>
            <w:r>
              <w:rPr>
                <w:rFonts w:hint="eastAsia" w:asciiTheme="minorEastAsia" w:hAnsiTheme="minorEastAsia" w:eastAsiaTheme="minorEastAsia" w:cstheme="minorEastAsia"/>
                <w:sz w:val="21"/>
                <w:szCs w:val="21"/>
              </w:rPr>
              <w:t xml:space="preserve"> ，批准：</w:t>
            </w:r>
            <w:r>
              <w:rPr>
                <w:rFonts w:hint="eastAsia" w:asciiTheme="minorEastAsia" w:hAnsiTheme="minorEastAsia" w:eastAsiaTheme="minorEastAsia" w:cstheme="minorEastAsia"/>
                <w:sz w:val="21"/>
                <w:szCs w:val="21"/>
                <w:lang w:eastAsia="zh-CN"/>
              </w:rPr>
              <w:t>蔡建金</w:t>
            </w:r>
            <w:r>
              <w:rPr>
                <w:rFonts w:hint="eastAsia" w:asciiTheme="minorEastAsia" w:hAnsiTheme="minorEastAsia" w:eastAsiaTheme="minorEastAsia" w:cstheme="minorEastAsia"/>
                <w:sz w:val="21"/>
                <w:szCs w:val="21"/>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上次审核至今，未发生变化。</w:t>
            </w:r>
          </w:p>
        </w:tc>
        <w:tc>
          <w:tcPr>
            <w:tcW w:w="780" w:type="dxa"/>
          </w:tcPr>
          <w:p>
            <w:pPr>
              <w:spacing w:line="360" w:lineRule="auto"/>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5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环境因素识别、危险源辨识及控制</w:t>
            </w:r>
          </w:p>
        </w:tc>
        <w:tc>
          <w:tcPr>
            <w:tcW w:w="1164"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EO</w:t>
            </w:r>
            <w:r>
              <w:rPr>
                <w:rFonts w:hint="eastAsia" w:asciiTheme="minorEastAsia" w:hAnsiTheme="minorEastAsia" w:eastAsiaTheme="minorEastAsia" w:cstheme="minorEastAsia"/>
                <w:sz w:val="21"/>
                <w:szCs w:val="21"/>
              </w:rPr>
              <w:t>6.1.2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1080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提供 《</w:t>
            </w:r>
            <w:r>
              <w:rPr>
                <w:rFonts w:hint="eastAsia" w:asciiTheme="minorEastAsia" w:hAnsiTheme="minorEastAsia" w:eastAsiaTheme="minorEastAsia" w:cstheme="minorEastAsia"/>
                <w:sz w:val="21"/>
                <w:szCs w:val="21"/>
                <w:lang w:eastAsia="zh-CN"/>
              </w:rPr>
              <w:t>环境因素的识别、评价控制程序</w:t>
            </w:r>
            <w:r>
              <w:rPr>
                <w:rFonts w:hint="eastAsia" w:asciiTheme="minorEastAsia" w:hAnsiTheme="minorEastAsia" w:eastAsiaTheme="minorEastAsia" w:cstheme="minorEastAsia"/>
                <w:sz w:val="21"/>
                <w:szCs w:val="21"/>
              </w:rPr>
              <w:t>》，用以指导进行环境因素的识别、登记评价，以确定重要环境因素以及对环境因素的定期更新，环境因素的识别和确定考虑生命周期观点。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提供了《环境因素识别与评价表》，识别的环境因素标明时态、状态和对环境的影响；经查阅识别出对在办公活动中产生的纸张等消耗、固废排放、生活废水排放等环境因素及考虑到环境管理体系发生变更时可能产生的环境因素。重要环境因素采用经验/直接判断法，由各部门有管理经验的人员共同讨论、采用直接判断的方法确定重要环境因素，提供了“重要环境因素清单”：本部门的重要环境因素：火灾，办公废弃物；提供了针对重要环境因素，编的环境目标、指标及管理方案，内容包括：目标、指标、管理措施、完成时间、资金投入等。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提供了《危险源辨识、风险评价和控制措施确定控制程序》，对危险源的识别、评价结果、控制手段等做出了规定。</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负责本部门的危险源的识别、评价和控制。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部门负责人介绍了对危险源进行了辨识，考虑了三种时态，过去、现在和将来，三种状态，正常、异常和紧急，按照办公过程等进行了辨识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查《危险源辨识及风险评价表》，</w:t>
            </w:r>
            <w:r>
              <w:rPr>
                <w:rFonts w:hint="eastAsia" w:asciiTheme="minorEastAsia" w:hAnsiTheme="minorEastAsia" w:eastAsiaTheme="minorEastAsia" w:cstheme="minorEastAsia"/>
                <w:sz w:val="21"/>
                <w:szCs w:val="21"/>
                <w:lang w:eastAsia="zh-TW"/>
              </w:rPr>
              <w:t>部门：</w:t>
            </w:r>
            <w:r>
              <w:rPr>
                <w:rFonts w:hint="eastAsia" w:asciiTheme="minorEastAsia" w:hAnsiTheme="minorEastAsia" w:eastAsiaTheme="minorEastAsia" w:cstheme="minorEastAsia"/>
                <w:sz w:val="21"/>
                <w:szCs w:val="21"/>
                <w:lang w:val="en-US" w:eastAsia="zh-CN"/>
              </w:rPr>
              <w:t>综合部</w:t>
            </w:r>
            <w:r>
              <w:rPr>
                <w:rFonts w:hint="eastAsia" w:asciiTheme="minorEastAsia" w:hAnsiTheme="minorEastAsia" w:eastAsiaTheme="minorEastAsia" w:cstheme="minorEastAsia"/>
                <w:sz w:val="21"/>
                <w:szCs w:val="21"/>
                <w:lang w:eastAsia="zh-TW"/>
              </w:rPr>
              <w:t>，识别了</w:t>
            </w:r>
            <w:r>
              <w:rPr>
                <w:rFonts w:hint="eastAsia" w:asciiTheme="minorEastAsia" w:hAnsiTheme="minorEastAsia" w:eastAsiaTheme="minorEastAsia" w:cstheme="minorEastAsia"/>
                <w:kern w:val="0"/>
                <w:sz w:val="21"/>
                <w:szCs w:val="21"/>
              </w:rPr>
              <w:t>电源开关、插座等有漏电现象</w:t>
            </w:r>
            <w:r>
              <w:rPr>
                <w:rFonts w:hint="eastAsia" w:asciiTheme="minorEastAsia" w:hAnsiTheme="minorEastAsia" w:eastAsiaTheme="minorEastAsia" w:cstheme="minorEastAsia"/>
                <w:sz w:val="21"/>
                <w:szCs w:val="21"/>
                <w:lang w:eastAsia="zh-TW"/>
              </w:rPr>
              <w:t>导致的的</w:t>
            </w:r>
            <w:r>
              <w:rPr>
                <w:rFonts w:hint="eastAsia" w:asciiTheme="minorEastAsia" w:hAnsiTheme="minorEastAsia" w:eastAsiaTheme="minorEastAsia" w:cstheme="minorEastAsia"/>
                <w:sz w:val="21"/>
                <w:szCs w:val="21"/>
                <w:lang w:eastAsia="zh-CN"/>
              </w:rPr>
              <w:t>触电</w:t>
            </w:r>
            <w:r>
              <w:rPr>
                <w:rFonts w:hint="eastAsia" w:asciiTheme="minorEastAsia" w:hAnsiTheme="minorEastAsia" w:eastAsiaTheme="minorEastAsia" w:cstheme="minorEastAsia"/>
                <w:kern w:val="0"/>
                <w:sz w:val="21"/>
                <w:szCs w:val="21"/>
                <w:lang w:eastAsia="zh-CN"/>
              </w:rPr>
              <w:t>；</w:t>
            </w:r>
            <w:r>
              <w:rPr>
                <w:rFonts w:hint="eastAsia" w:asciiTheme="minorEastAsia" w:hAnsiTheme="minorEastAsia" w:eastAsiaTheme="minorEastAsia" w:cstheme="minorEastAsia"/>
                <w:sz w:val="21"/>
                <w:szCs w:val="21"/>
              </w:rPr>
              <w:t>吸烟、电线短路</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人离开未断电源</w:t>
            </w:r>
            <w:r>
              <w:rPr>
                <w:rFonts w:hint="eastAsia" w:asciiTheme="minorEastAsia" w:hAnsiTheme="minorEastAsia" w:eastAsiaTheme="minorEastAsia" w:cstheme="minorEastAsia"/>
                <w:sz w:val="21"/>
                <w:szCs w:val="21"/>
                <w:lang w:eastAsia="zh-TW"/>
              </w:rPr>
              <w:t>可能导致的的火灾</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财务人员取存款遭遇抢劫</w:t>
            </w:r>
            <w:r>
              <w:rPr>
                <w:rFonts w:hint="eastAsia" w:asciiTheme="minorEastAsia" w:hAnsiTheme="minorEastAsia" w:eastAsiaTheme="minorEastAsia" w:cstheme="minorEastAsia"/>
                <w:sz w:val="21"/>
                <w:szCs w:val="21"/>
                <w:lang w:eastAsia="zh-CN"/>
              </w:rPr>
              <w:t>造成</w:t>
            </w:r>
            <w:r>
              <w:rPr>
                <w:rFonts w:hint="eastAsia" w:asciiTheme="minorEastAsia" w:hAnsiTheme="minorEastAsia" w:eastAsiaTheme="minorEastAsia" w:cstheme="minorEastAsia"/>
                <w:sz w:val="21"/>
                <w:szCs w:val="21"/>
              </w:rPr>
              <w:t>人身伤害</w:t>
            </w:r>
            <w:r>
              <w:rPr>
                <w:rFonts w:hint="eastAsia" w:asciiTheme="minorEastAsia" w:hAnsiTheme="minorEastAsia" w:eastAsiaTheme="minorEastAsia" w:cstheme="minorEastAsia"/>
                <w:sz w:val="21"/>
                <w:szCs w:val="21"/>
                <w:lang w:eastAsia="zh-TW"/>
              </w:rPr>
              <w:t>等危险源</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查到：《公司重大风险清单》，</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lang w:eastAsia="zh-TW"/>
              </w:rPr>
              <w:t>涉及的不可接受风险：触电</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TW"/>
              </w:rPr>
              <w:t>火灾。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TW"/>
              </w:rPr>
              <w:t>对于</w:t>
            </w:r>
            <w:r>
              <w:rPr>
                <w:rFonts w:hint="eastAsia" w:asciiTheme="minorEastAsia" w:hAnsiTheme="minorEastAsia" w:eastAsiaTheme="minorEastAsia" w:cstheme="minorEastAsia"/>
                <w:sz w:val="21"/>
                <w:szCs w:val="21"/>
              </w:rPr>
              <w:t>危险源、不可接受风险等通过运行控制、管理方案、应急准备与响应进行控制。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综合部</w:t>
            </w:r>
            <w:r>
              <w:rPr>
                <w:rFonts w:hint="eastAsia" w:asciiTheme="minorEastAsia" w:hAnsiTheme="minorEastAsia" w:eastAsiaTheme="minorEastAsia" w:cstheme="minorEastAsia"/>
                <w:sz w:val="21"/>
                <w:szCs w:val="21"/>
              </w:rPr>
              <w:t>危险的识别、评价基本符合标准要求。</w:t>
            </w:r>
          </w:p>
        </w:tc>
        <w:tc>
          <w:tcPr>
            <w:tcW w:w="780" w:type="dxa"/>
          </w:tcPr>
          <w:p>
            <w:pPr>
              <w:spacing w:line="360" w:lineRule="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6" w:type="dxa"/>
            <w:vAlign w:val="top"/>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合规义务</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合规性评价</w:t>
            </w:r>
          </w:p>
        </w:tc>
        <w:tc>
          <w:tcPr>
            <w:tcW w:w="1164" w:type="dxa"/>
            <w:vAlign w:val="top"/>
          </w:tcPr>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6.1.3</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9.1.2</w:t>
            </w:r>
          </w:p>
        </w:tc>
        <w:tc>
          <w:tcPr>
            <w:tcW w:w="10809" w:type="dxa"/>
            <w:vAlign w:val="top"/>
          </w:tcPr>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w:t>
            </w:r>
            <w:r>
              <w:rPr>
                <w:rFonts w:hint="eastAsia" w:asciiTheme="minorEastAsia" w:hAnsiTheme="minorEastAsia" w:eastAsiaTheme="minorEastAsia" w:cstheme="minorEastAsia"/>
                <w:bCs w:val="0"/>
                <w:spacing w:val="0"/>
                <w:kern w:val="2"/>
                <w:sz w:val="21"/>
                <w:szCs w:val="21"/>
                <w:lang w:val="en-US" w:eastAsia="zh-CN" w:bidi="ar-SA"/>
              </w:rPr>
              <w:t>编制了《法律法规和其它要求获取、识别控制程序》《合规性评价控制程序》，对法律法规的识别、更新和应用进行规定，规定了对本公司法规及其他要求的合规性评价的要求。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w:t>
            </w:r>
            <w:r>
              <w:rPr>
                <w:rFonts w:hint="eastAsia" w:asciiTheme="minorEastAsia" w:hAnsiTheme="minorEastAsia" w:eastAsiaTheme="minorEastAsia" w:cstheme="minorEastAsia"/>
                <w:bCs w:val="0"/>
                <w:spacing w:val="0"/>
                <w:kern w:val="2"/>
                <w:sz w:val="21"/>
                <w:szCs w:val="21"/>
                <w:lang w:val="en-US" w:eastAsia="zh-CN" w:bidi="ar-SA"/>
              </w:rPr>
              <w:t>提供了“环境法律法规清单”“职业健康安全法律法规清单”，识别了企业相关环境和职业健康安全法律法规、标准和其他要求，如：中华人民共和国环境保护法、中华人民共和国固体废物污染环境防治法、中华人民共和国大气污染防治法、中华人民共和国职业病防治法、中华人民共和国消防法、中华人民共和国妇女权益保障法、中华人民共和国传染病防治、突发公共卫生事件应急条例、河北省</w:t>
            </w:r>
            <w:r>
              <w:rPr>
                <w:rFonts w:hint="eastAsia" w:asciiTheme="minorEastAsia" w:hAnsiTheme="minorEastAsia" w:eastAsiaTheme="minorEastAsia" w:cstheme="minorEastAsia"/>
                <w:b w:val="0"/>
                <w:bCs w:val="0"/>
                <w:kern w:val="2"/>
                <w:sz w:val="21"/>
                <w:szCs w:val="21"/>
                <w:lang w:val="en-US" w:eastAsia="zh-CN" w:bidi="ar-SA"/>
              </w:rPr>
              <w:t>节约能源条例、河北省消防条例、</w:t>
            </w:r>
            <w:r>
              <w:rPr>
                <w:rFonts w:hint="eastAsia" w:asciiTheme="minorEastAsia" w:hAnsiTheme="minorEastAsia" w:eastAsiaTheme="minorEastAsia" w:cstheme="minorEastAsia"/>
                <w:b w:val="0"/>
                <w:kern w:val="2"/>
                <w:sz w:val="21"/>
                <w:szCs w:val="21"/>
                <w:lang w:val="en-US" w:eastAsia="zh-CN" w:bidi="ar-SA"/>
              </w:rPr>
              <w:t>河北省女职工劳动保护特别规定、河北省工伤保险实施办法</w:t>
            </w:r>
            <w:r>
              <w:rPr>
                <w:rFonts w:hint="eastAsia" w:asciiTheme="minorEastAsia" w:hAnsiTheme="minorEastAsia" w:eastAsiaTheme="minorEastAsia" w:cstheme="minorEastAsia"/>
                <w:bCs w:val="0"/>
                <w:spacing w:val="0"/>
                <w:kern w:val="2"/>
                <w:sz w:val="21"/>
                <w:szCs w:val="21"/>
                <w:lang w:val="en-US" w:eastAsia="zh-CN" w:bidi="ar-SA"/>
              </w:rPr>
              <w:t>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公司通过培训方式向有关员工传达法律、法规及其它要求的相关要求。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sz w:val="21"/>
                <w:szCs w:val="21"/>
                <w:lang w:val="en-US" w:eastAsia="zh-CN"/>
              </w:rPr>
              <w:t>----</w:t>
            </w:r>
            <w:r>
              <w:rPr>
                <w:rFonts w:hint="eastAsia" w:asciiTheme="minorEastAsia" w:hAnsiTheme="minorEastAsia" w:eastAsiaTheme="minorEastAsia" w:cstheme="minorEastAsia"/>
                <w:bCs w:val="0"/>
                <w:spacing w:val="0"/>
                <w:kern w:val="2"/>
                <w:sz w:val="21"/>
                <w:szCs w:val="21"/>
                <w:lang w:val="en-US" w:eastAsia="zh-CN" w:bidi="ar-SA"/>
              </w:rPr>
              <w:t>提供了2022年9月30日的“安全法律法规合规性评价”，2022年11月10日的“环境法律法规合规性评价”，评价人：</w:t>
            </w:r>
            <w:r>
              <w:rPr>
                <w:rFonts w:hint="eastAsia" w:asciiTheme="minorEastAsia" w:hAnsiTheme="minorEastAsia" w:eastAsiaTheme="minorEastAsia" w:cstheme="minorEastAsia"/>
                <w:color w:val="000000"/>
                <w:kern w:val="0"/>
                <w:sz w:val="21"/>
                <w:szCs w:val="21"/>
                <w:lang w:eastAsia="zh-CN"/>
              </w:rPr>
              <w:t>孔德山、</w:t>
            </w:r>
            <w:r>
              <w:rPr>
                <w:rFonts w:hint="eastAsia" w:asciiTheme="minorEastAsia" w:hAnsiTheme="minorEastAsia" w:eastAsiaTheme="minorEastAsia" w:cstheme="minorEastAsia"/>
                <w:color w:val="000000"/>
                <w:kern w:val="0"/>
                <w:sz w:val="21"/>
                <w:szCs w:val="21"/>
              </w:rPr>
              <w:t>李霞</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蔡建金</w:t>
            </w:r>
            <w:r>
              <w:rPr>
                <w:rFonts w:hint="eastAsia" w:asciiTheme="minorEastAsia" w:hAnsiTheme="minorEastAsia" w:eastAsiaTheme="minorEastAsia" w:cstheme="minorEastAsia"/>
                <w:bCs w:val="0"/>
                <w:spacing w:val="0"/>
                <w:kern w:val="2"/>
                <w:sz w:val="21"/>
                <w:szCs w:val="21"/>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en-US" w:eastAsia="zh-CN"/>
              </w:rPr>
              <w:t>----</w:t>
            </w:r>
            <w:r>
              <w:rPr>
                <w:rFonts w:hint="eastAsia" w:asciiTheme="minorEastAsia" w:hAnsiTheme="minorEastAsia" w:eastAsiaTheme="minorEastAsia" w:cstheme="minorEastAsia"/>
                <w:bCs w:val="0"/>
                <w:spacing w:val="0"/>
                <w:kern w:val="2"/>
                <w:sz w:val="21"/>
                <w:szCs w:val="21"/>
                <w:lang w:val="en-US" w:eastAsia="zh-CN" w:bidi="ar-SA"/>
              </w:rPr>
              <w:t>负责人介绍未发生过环境、职业健康安全事件，未有其他单位和个人投诉，无环境、职业健康安全事件发生，现场审核时也未发现违规情况。</w:t>
            </w:r>
          </w:p>
        </w:tc>
        <w:tc>
          <w:tcPr>
            <w:tcW w:w="780" w:type="dxa"/>
          </w:tcPr>
          <w:p>
            <w:pPr>
              <w:pStyle w:val="3"/>
              <w:spacing w:line="360" w:lineRule="auto"/>
              <w:rPr>
                <w:rFonts w:hint="eastAsia" w:eastAsia="宋体"/>
                <w:sz w:val="21"/>
                <w:szCs w:val="21"/>
                <w:lang w:val="en-US" w:eastAsia="zh-CN"/>
              </w:rPr>
            </w:pPr>
            <w:r>
              <w:rPr>
                <w:rFonts w:hint="eastAsia"/>
                <w:sz w:val="21"/>
                <w:szCs w:val="21"/>
                <w:lang w:val="en-US" w:eastAsia="zh-CN"/>
              </w:rPr>
              <w:t>Y</w:t>
            </w:r>
          </w:p>
          <w:p>
            <w:pPr>
              <w:pStyle w:val="3"/>
              <w:spacing w:line="360" w:lineRule="auto"/>
            </w:pPr>
          </w:p>
          <w:p>
            <w:pPr>
              <w:pStyle w:val="3"/>
              <w:spacing w:line="360" w:lineRule="auto"/>
            </w:pPr>
          </w:p>
          <w:p>
            <w:pPr>
              <w:pStyle w:val="3"/>
              <w:spacing w:line="360" w:lineRule="auto"/>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956"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运行控制</w:t>
            </w:r>
          </w:p>
        </w:tc>
        <w:tc>
          <w:tcPr>
            <w:tcW w:w="116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EO</w:t>
            </w:r>
            <w:r>
              <w:rPr>
                <w:rFonts w:hint="eastAsia" w:asciiTheme="minorEastAsia" w:hAnsiTheme="minorEastAsia" w:eastAsiaTheme="minorEastAsia" w:cstheme="minorEastAsia"/>
                <w:sz w:val="21"/>
                <w:szCs w:val="21"/>
              </w:rPr>
              <w:t>8.1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1"/>
                <w:szCs w:val="21"/>
                <w:lang w:val="en-US" w:eastAsia="zh-CN" w:bidi="ar-SA"/>
              </w:rPr>
            </w:pPr>
          </w:p>
        </w:tc>
        <w:tc>
          <w:tcPr>
            <w:tcW w:w="1080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－－编制了</w:t>
            </w:r>
            <w:r>
              <w:rPr>
                <w:rFonts w:hint="eastAsia" w:asciiTheme="minorEastAsia" w:hAnsiTheme="minorEastAsia" w:eastAsiaTheme="minorEastAsia" w:cstheme="minorEastAsia"/>
                <w:sz w:val="21"/>
                <w:szCs w:val="21"/>
              </w:rPr>
              <w:t>运行控制文件包括：</w:t>
            </w:r>
            <w:r>
              <w:rPr>
                <w:rFonts w:hint="eastAsia" w:asciiTheme="minorEastAsia" w:hAnsiTheme="minorEastAsia" w:eastAsiaTheme="minorEastAsia" w:cstheme="minorEastAsia"/>
                <w:sz w:val="21"/>
                <w:szCs w:val="21"/>
                <w:lang w:val="en-GB"/>
              </w:rPr>
              <w:t>废弃物管理办法、节能降耗管理办法、岗位职责权限、安全消防制度</w:t>
            </w:r>
            <w:r>
              <w:rPr>
                <w:rFonts w:hint="eastAsia" w:asciiTheme="minorEastAsia" w:hAnsiTheme="minorEastAsia" w:eastAsiaTheme="minorEastAsia" w:cstheme="minorEastAsia"/>
                <w:sz w:val="21"/>
                <w:szCs w:val="21"/>
              </w:rPr>
              <w:t>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运行控制情况：</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1、废水管控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主要生活废水排入政府污水管网统一处理。</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2、废气管控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办公现场基本无废气排放。</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3、噪声管控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办公噪声主要是复印机运行，噪声较低，采取措施按时清洁保养。</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4、固废管控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主要为生活垃圾</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以及维修过程产生的管道接头边角料</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由</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lang w:val="en-US" w:eastAsia="zh-CN"/>
              </w:rPr>
              <w:t>分类，集中</w:t>
            </w:r>
            <w:r>
              <w:rPr>
                <w:rFonts w:hint="eastAsia" w:asciiTheme="minorEastAsia" w:hAnsiTheme="minorEastAsia" w:eastAsiaTheme="minorEastAsia" w:cstheme="minorEastAsia"/>
                <w:sz w:val="21"/>
                <w:szCs w:val="21"/>
              </w:rPr>
              <w:t>倒入垃圾站由市政环卫运送至统一地点集中处理。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能源资源管控</w:t>
            </w:r>
            <w:r>
              <w:rPr>
                <w:rFonts w:hint="eastAsia" w:asciiTheme="minorEastAsia" w:hAnsiTheme="minorEastAsia" w:eastAsiaTheme="minorEastAsia" w:cstheme="minorEastAsia"/>
                <w:sz w:val="21"/>
                <w:szCs w:val="21"/>
                <w:lang w:eastAsia="zh-CN"/>
              </w:rPr>
              <w:t>：运营</w:t>
            </w:r>
            <w:r>
              <w:rPr>
                <w:rFonts w:hint="eastAsia" w:asciiTheme="minorEastAsia" w:hAnsiTheme="minorEastAsia" w:eastAsiaTheme="minorEastAsia" w:cstheme="minorEastAsia"/>
                <w:sz w:val="21"/>
                <w:szCs w:val="21"/>
                <w:lang w:val="en-US" w:eastAsia="zh-CN"/>
              </w:rPr>
              <w:t>服务</w:t>
            </w:r>
            <w:r>
              <w:rPr>
                <w:rFonts w:hint="eastAsia" w:asciiTheme="minorEastAsia" w:hAnsiTheme="minorEastAsia" w:eastAsiaTheme="minorEastAsia" w:cstheme="minorEastAsia"/>
                <w:sz w:val="21"/>
                <w:szCs w:val="21"/>
              </w:rPr>
              <w:t>过程注意节水、节电、节油，人走关闭开关，现场采用声控节能灯，未发现有漏水和浪费电能的现象。</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6、潜在火灾管控</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公司办公配备有灭火栓、灭火器，消防通道畅通，每半年有检查，符合要求。</w:t>
            </w:r>
          </w:p>
          <w:p>
            <w:pPr>
              <w:keepNext w:val="0"/>
              <w:keepLines w:val="0"/>
              <w:pageBreakBefore w:val="0"/>
              <w:widowControl w:val="0"/>
              <w:kinsoku/>
              <w:wordWrap/>
              <w:overflowPunct/>
              <w:topLinePunct w:val="0"/>
              <w:autoSpaceDE/>
              <w:autoSpaceDN/>
              <w:bidi w:val="0"/>
              <w:adjustRightInd/>
              <w:snapToGrid/>
              <w:spacing w:line="360" w:lineRule="auto"/>
              <w:ind w:firstLine="42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7、环境</w:t>
            </w:r>
            <w:r>
              <w:rPr>
                <w:rFonts w:hint="eastAsia" w:asciiTheme="minorEastAsia" w:hAnsiTheme="minorEastAsia" w:eastAsiaTheme="minorEastAsia" w:cstheme="minorEastAsia"/>
                <w:sz w:val="21"/>
                <w:szCs w:val="21"/>
                <w:lang w:eastAsia="zh-CN"/>
              </w:rPr>
              <w:t>安全</w:t>
            </w:r>
            <w:r>
              <w:rPr>
                <w:rFonts w:hint="eastAsia" w:asciiTheme="minorEastAsia" w:hAnsiTheme="minorEastAsia" w:eastAsiaTheme="minorEastAsia" w:cstheme="minorEastAsia"/>
                <w:sz w:val="21"/>
                <w:szCs w:val="21"/>
              </w:rPr>
              <w:t>防护</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公司给员工发放口罩等劳保用品</w:t>
            </w:r>
            <w:r>
              <w:rPr>
                <w:rFonts w:hint="eastAsia" w:asciiTheme="minorEastAsia" w:hAnsiTheme="minorEastAsia" w:eastAsiaTheme="minorEastAsia" w:cstheme="minorEastAsia"/>
                <w:sz w:val="21"/>
                <w:szCs w:val="21"/>
                <w:lang w:eastAsia="zh-CN"/>
              </w:rPr>
              <w:t>，抽查</w:t>
            </w:r>
            <w:r>
              <w:rPr>
                <w:rFonts w:hint="eastAsia" w:asciiTheme="minorEastAsia" w:hAnsiTheme="minorEastAsia" w:eastAsiaTheme="minorEastAsia" w:cstheme="minorEastAsia"/>
                <w:sz w:val="21"/>
                <w:szCs w:val="21"/>
                <w:lang w:val="en-US" w:eastAsia="zh-CN"/>
              </w:rPr>
              <w:t>2022.6、2022.10劳保用品发放记录，有领用人签字</w:t>
            </w:r>
            <w:r>
              <w:rPr>
                <w:rFonts w:hint="eastAsia" w:asciiTheme="minorEastAsia" w:hAnsiTheme="minorEastAsia" w:eastAsiaTheme="minorEastAsia" w:cstheme="minorEastAsia"/>
                <w:sz w:val="21"/>
                <w:szCs w:val="21"/>
              </w:rPr>
              <w:t>。</w:t>
            </w:r>
          </w:p>
          <w:p>
            <w:pPr>
              <w:pStyle w:val="2"/>
              <w:rPr>
                <w:rFonts w:hint="default" w:eastAsiaTheme="minorEastAsia"/>
                <w:lang w:val="en-US" w:eastAsia="zh-CN"/>
              </w:rPr>
            </w:pPr>
            <w:r>
              <w:rPr>
                <w:rFonts w:hint="eastAsia" w:asciiTheme="minorEastAsia" w:hAnsiTheme="minorEastAsia" w:eastAsiaTheme="minorEastAsia" w:cstheme="minorEastAsia"/>
                <w:sz w:val="21"/>
                <w:szCs w:val="21"/>
                <w:lang w:val="en-US" w:eastAsia="zh-CN"/>
              </w:rPr>
              <w:t xml:space="preserve">      查看2022.12.25王浩、2022.9.25张翠翠、2022.8.29李霞体检报告，体验单位：沧州中西医结合医院健康体检中心。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8、为员工上社保</w:t>
            </w:r>
            <w:r>
              <w:rPr>
                <w:rFonts w:hint="eastAsia" w:asciiTheme="minorEastAsia" w:hAnsiTheme="minorEastAsia" w:eastAsiaTheme="minorEastAsia" w:cstheme="minorEastAsia"/>
                <w:sz w:val="21"/>
                <w:szCs w:val="21"/>
                <w:lang w:eastAsia="zh-CN"/>
              </w:rPr>
              <w:t>：提供了</w:t>
            </w:r>
            <w:r>
              <w:rPr>
                <w:rFonts w:hint="eastAsia" w:asciiTheme="minorEastAsia" w:hAnsiTheme="minorEastAsia" w:eastAsiaTheme="minorEastAsia" w:cstheme="minorEastAsia"/>
                <w:sz w:val="21"/>
                <w:szCs w:val="21"/>
                <w:lang w:val="en-US" w:eastAsia="zh-CN"/>
              </w:rPr>
              <w:t>2022年9月社保缴费凭证</w:t>
            </w:r>
            <w:r>
              <w:rPr>
                <w:rFonts w:hint="eastAsia" w:asciiTheme="minorEastAsia" w:hAnsiTheme="minorEastAsia" w:eastAsiaTheme="minorEastAsia" w:cstheme="minorEastAsia"/>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工作时间平均每天不超过8小时。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现场查看办公区域配备符合要求的消防设施。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相关方施加影响：公司能够控制或能够施加影响的相关方有顾客等。提供了“致相关方的公开信”，将公司的环境/安全控制要求发放到了所有相关方:运输公司\供应商\外来员工等</w:t>
            </w:r>
            <w:r>
              <w:rPr>
                <w:rFonts w:hint="eastAsia" w:asciiTheme="minorEastAsia" w:hAnsiTheme="minorEastAsia" w:eastAsiaTheme="minorEastAsia" w:cstheme="minorEastAsia"/>
                <w:sz w:val="21"/>
                <w:szCs w:val="21"/>
                <w:lang w:val="en-US"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财务提供</w:t>
            </w:r>
            <w:r>
              <w:rPr>
                <w:rFonts w:hint="eastAsia" w:asciiTheme="minorEastAsia" w:hAnsiTheme="minorEastAsia" w:eastAsiaTheme="minorEastAsia" w:cstheme="minorEastAsia"/>
                <w:sz w:val="21"/>
                <w:szCs w:val="21"/>
                <w:lang w:val="en-US" w:eastAsia="zh-CN"/>
              </w:rPr>
              <w:t>2022年</w:t>
            </w:r>
            <w:r>
              <w:rPr>
                <w:rFonts w:hint="eastAsia" w:asciiTheme="minorEastAsia" w:hAnsiTheme="minorEastAsia" w:eastAsiaTheme="minorEastAsia" w:cstheme="minorEastAsia"/>
                <w:sz w:val="21"/>
                <w:szCs w:val="21"/>
              </w:rPr>
              <w:t>环保资金费用投入情况</w:t>
            </w:r>
            <w:r>
              <w:rPr>
                <w:rFonts w:hint="eastAsia" w:asciiTheme="minorEastAsia" w:hAnsiTheme="minorEastAsia" w:eastAsiaTheme="minorEastAsia" w:cstheme="minorEastAsia"/>
                <w:sz w:val="21"/>
                <w:szCs w:val="21"/>
                <w:lang w:eastAsia="zh-CN"/>
              </w:rPr>
              <w:t>，主要用于</w:t>
            </w:r>
            <w:r>
              <w:rPr>
                <w:rFonts w:hint="eastAsia" w:asciiTheme="minorEastAsia" w:hAnsiTheme="minorEastAsia" w:eastAsiaTheme="minorEastAsia" w:cstheme="minorEastAsia"/>
                <w:color w:val="auto"/>
                <w:sz w:val="21"/>
                <w:szCs w:val="21"/>
              </w:rPr>
              <w:t>劳保用品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消防器材</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体检</w:t>
            </w:r>
            <w:r>
              <w:rPr>
                <w:rFonts w:hint="eastAsia" w:asciiTheme="minorEastAsia" w:hAnsiTheme="minorEastAsia" w:eastAsiaTheme="minorEastAsia" w:cstheme="minorEastAsia"/>
                <w:color w:val="auto"/>
                <w:sz w:val="21"/>
                <w:szCs w:val="21"/>
                <w:lang w:eastAsia="zh-CN"/>
              </w:rPr>
              <w:t>、社保等，约</w:t>
            </w:r>
            <w:r>
              <w:rPr>
                <w:rFonts w:hint="eastAsia" w:asciiTheme="minorEastAsia" w:hAnsiTheme="minorEastAsia" w:eastAsiaTheme="minorEastAsia" w:cstheme="minorEastAsia"/>
                <w:color w:val="auto"/>
                <w:sz w:val="21"/>
                <w:szCs w:val="21"/>
                <w:lang w:val="en-US" w:eastAsia="zh-CN"/>
              </w:rPr>
              <w:t>16.7万元</w:t>
            </w:r>
            <w:r>
              <w:rPr>
                <w:rFonts w:hint="eastAsia" w:asciiTheme="minorEastAsia" w:hAnsiTheme="minorEastAsia" w:eastAsiaTheme="minorEastAsia" w:cstheme="minorEastAsia"/>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sz w:val="21"/>
                <w:szCs w:val="21"/>
              </w:rPr>
              <w:t>现场查看办公区域，整洁、光线充足、室内空气良好、配置有空调，办公条件较好，办公设备安全状态良好，教育员工正确使用办公设备，现场用电基本规范，无乱拉线现象，防止火灾发生。</w:t>
            </w:r>
            <w:r>
              <w:rPr>
                <w:rFonts w:hint="eastAsia" w:asciiTheme="minorEastAsia" w:hAnsiTheme="minorEastAsia" w:eastAsiaTheme="minorEastAsia" w:cstheme="minorEastAsia"/>
                <w:sz w:val="21"/>
                <w:szCs w:val="21"/>
                <w:lang w:eastAsia="zh-CN"/>
              </w:rPr>
              <w:t>办公区域装备了应急照明、消防栓、灭火器等消防设施。有小心台阶、关灯、关空调等提示标识。</w:t>
            </w:r>
          </w:p>
          <w:p>
            <w:pPr>
              <w:pStyle w:val="2"/>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drawing>
                <wp:inline distT="0" distB="0" distL="114300" distR="114300">
                  <wp:extent cx="1386840" cy="2240280"/>
                  <wp:effectExtent l="0" t="0" r="0" b="0"/>
                  <wp:docPr id="1" name="图片 1" descr="1678763949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8763949835"/>
                          <pic:cNvPicPr>
                            <a:picLocks noChangeAspect="1"/>
                          </pic:cNvPicPr>
                        </pic:nvPicPr>
                        <pic:blipFill>
                          <a:blip r:embed="rId6"/>
                          <a:stretch>
                            <a:fillRect/>
                          </a:stretch>
                        </pic:blipFill>
                        <pic:spPr>
                          <a:xfrm>
                            <a:off x="0" y="0"/>
                            <a:ext cx="1386840" cy="2240280"/>
                          </a:xfrm>
                          <a:prstGeom prst="rect">
                            <a:avLst/>
                          </a:prstGeom>
                        </pic:spPr>
                      </pic:pic>
                    </a:graphicData>
                  </a:graphic>
                </wp:inline>
              </w:drawing>
            </w:r>
            <w:r>
              <w:rPr>
                <w:rFonts w:hint="eastAsia" w:asciiTheme="minorEastAsia" w:hAnsiTheme="minorEastAsia" w:eastAsiaTheme="minorEastAsia" w:cstheme="minorEastAsia"/>
                <w:sz w:val="21"/>
                <w:szCs w:val="21"/>
                <w:lang w:val="en-US" w:eastAsia="zh-CN"/>
              </w:rPr>
              <w:drawing>
                <wp:inline distT="0" distB="0" distL="114300" distR="114300">
                  <wp:extent cx="2607945" cy="2087880"/>
                  <wp:effectExtent l="0" t="0" r="13335" b="0"/>
                  <wp:docPr id="2" name="图片 2" descr="1678763980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78763980394"/>
                          <pic:cNvPicPr>
                            <a:picLocks noChangeAspect="1"/>
                          </pic:cNvPicPr>
                        </pic:nvPicPr>
                        <pic:blipFill>
                          <a:blip r:embed="rId7"/>
                          <a:stretch>
                            <a:fillRect/>
                          </a:stretch>
                        </pic:blipFill>
                        <pic:spPr>
                          <a:xfrm>
                            <a:off x="0" y="0"/>
                            <a:ext cx="2607945" cy="2087880"/>
                          </a:xfrm>
                          <a:prstGeom prst="rect">
                            <a:avLst/>
                          </a:prstGeom>
                        </pic:spPr>
                      </pic:pic>
                    </a:graphicData>
                  </a:graphic>
                </wp:inline>
              </w:drawing>
            </w:r>
            <w:r>
              <w:rPr>
                <w:rFonts w:hint="eastAsia" w:asciiTheme="minorEastAsia" w:hAnsiTheme="minorEastAsia" w:eastAsiaTheme="minorEastAsia" w:cstheme="minorEastAsia"/>
                <w:sz w:val="21"/>
                <w:szCs w:val="21"/>
                <w:lang w:val="en-US" w:eastAsia="zh-CN"/>
              </w:rPr>
              <w:drawing>
                <wp:inline distT="0" distB="0" distL="114300" distR="114300">
                  <wp:extent cx="2338070" cy="2835275"/>
                  <wp:effectExtent l="0" t="0" r="8890" b="14605"/>
                  <wp:docPr id="3" name="图片 3" descr="1678764020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78764020313"/>
                          <pic:cNvPicPr>
                            <a:picLocks noChangeAspect="1"/>
                          </pic:cNvPicPr>
                        </pic:nvPicPr>
                        <pic:blipFill>
                          <a:blip r:embed="rId8"/>
                          <a:stretch>
                            <a:fillRect/>
                          </a:stretch>
                        </pic:blipFill>
                        <pic:spPr>
                          <a:xfrm>
                            <a:off x="0" y="0"/>
                            <a:ext cx="2338070" cy="2835275"/>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基本控制有效。</w:t>
            </w:r>
            <w:bookmarkStart w:id="2" w:name="_GoBack"/>
            <w:bookmarkEnd w:id="2"/>
          </w:p>
        </w:tc>
        <w:tc>
          <w:tcPr>
            <w:tcW w:w="780" w:type="dxa"/>
          </w:tcPr>
          <w:p>
            <w:pPr>
              <w:pStyle w:val="3"/>
              <w:spacing w:line="360" w:lineRule="auto"/>
              <w:rPr>
                <w:rFonts w:hint="default" w:eastAsia="宋体"/>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6" w:type="dxa"/>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应急准备和响应</w:t>
            </w:r>
          </w:p>
        </w:tc>
        <w:tc>
          <w:tcPr>
            <w:tcW w:w="1164" w:type="dxa"/>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EO</w:t>
            </w:r>
            <w:r>
              <w:rPr>
                <w:rFonts w:hint="eastAsia" w:asciiTheme="minorEastAsia" w:hAnsiTheme="minorEastAsia" w:eastAsiaTheme="minorEastAsia" w:cstheme="minorEastAsia"/>
                <w:sz w:val="21"/>
                <w:szCs w:val="21"/>
              </w:rPr>
              <w:t>8.2</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kern w:val="2"/>
                <w:sz w:val="21"/>
                <w:szCs w:val="21"/>
                <w:lang w:val="en-US" w:eastAsia="zh-CN" w:bidi="ar-SA"/>
              </w:rPr>
            </w:pPr>
          </w:p>
        </w:tc>
        <w:tc>
          <w:tcPr>
            <w:tcW w:w="1080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公司制定</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应急准备和响应控制程序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，预防或减少潜在安全事故或紧急情况造成的影响，对可能发生的各种重要环境</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危险源的紧急情况做出积极准备和响应，以减少事故造成的影响。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提供了《火灾应急处理预案》，包括发生火灾等紧急情况的处置和应急抢救方案等内容。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出示了</w:t>
            </w:r>
            <w:r>
              <w:rPr>
                <w:rFonts w:hint="eastAsia" w:asciiTheme="minorEastAsia" w:hAnsiTheme="minorEastAsia" w:eastAsiaTheme="minorEastAsia" w:cstheme="minorEastAsia"/>
                <w:sz w:val="21"/>
                <w:szCs w:val="21"/>
                <w:lang w:eastAsia="zh-CN"/>
              </w:rPr>
              <w:t>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lang w:val="en-US" w:eastAsia="zh-CN"/>
              </w:rPr>
              <w:t>23</w:t>
            </w:r>
            <w:r>
              <w:rPr>
                <w:rFonts w:hint="eastAsia" w:asciiTheme="minorEastAsia" w:hAnsiTheme="minorEastAsia" w:eastAsiaTheme="minorEastAsia" w:cstheme="minorEastAsia"/>
                <w:sz w:val="21"/>
                <w:szCs w:val="21"/>
                <w:lang w:eastAsia="zh-CN"/>
              </w:rPr>
              <w:t>日</w:t>
            </w:r>
            <w:r>
              <w:rPr>
                <w:rFonts w:hint="eastAsia" w:asciiTheme="minorEastAsia" w:hAnsiTheme="minorEastAsia" w:eastAsiaTheme="minorEastAsia" w:cstheme="minorEastAsia"/>
                <w:sz w:val="21"/>
                <w:szCs w:val="21"/>
              </w:rPr>
              <w:t>“火灾演练记录”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组织部门：演练主持人：</w:t>
            </w:r>
            <w:r>
              <w:rPr>
                <w:rFonts w:hint="eastAsia" w:asciiTheme="minorEastAsia" w:hAnsiTheme="minorEastAsia" w:eastAsiaTheme="minorEastAsia" w:cstheme="minorEastAsia"/>
                <w:sz w:val="21"/>
                <w:szCs w:val="21"/>
                <w:lang w:eastAsia="zh-CN"/>
              </w:rPr>
              <w:t>蔡建金</w:t>
            </w:r>
            <w:r>
              <w:rPr>
                <w:rFonts w:hint="eastAsia" w:asciiTheme="minorEastAsia" w:hAnsiTheme="minorEastAsia" w:eastAsiaTheme="minorEastAsia" w:cstheme="minorEastAsia"/>
                <w:sz w:val="21"/>
                <w:szCs w:val="21"/>
              </w:rPr>
              <w:t>，参加演练人员名单：</w:t>
            </w:r>
            <w:r>
              <w:rPr>
                <w:rFonts w:hint="eastAsia" w:asciiTheme="minorEastAsia" w:hAnsiTheme="minorEastAsia" w:eastAsiaTheme="minorEastAsia" w:cstheme="minorEastAsia"/>
                <w:sz w:val="21"/>
                <w:szCs w:val="21"/>
                <w:lang w:eastAsia="zh-CN"/>
              </w:rPr>
              <w:t>孔德山</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李霞</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王浩</w:t>
            </w:r>
            <w:r>
              <w:rPr>
                <w:rFonts w:hint="eastAsia" w:asciiTheme="minorEastAsia" w:hAnsiTheme="minorEastAsia" w:eastAsiaTheme="minorEastAsia" w:cstheme="minorEastAsia"/>
                <w:sz w:val="21"/>
                <w:szCs w:val="21"/>
              </w:rPr>
              <w:t>等公司全体人员。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事故救援过程描述：一旦发生当发生火灾事故时，外伤应急救护：外伤出血后，根据伤口的部位、轻重程度，可分别或同时采取指压止血法、加压包扎法或止血带止血法，如有骨折，则采用木板等物予以固定；运送伤患者前，应检查伤者头、胸、腹、背及四肢的伤势，并给予适当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lang w:val="en-GB"/>
              </w:rPr>
            </w:pPr>
            <w:r>
              <w:rPr>
                <w:rFonts w:hint="eastAsia" w:asciiTheme="minorEastAsia" w:hAnsiTheme="minorEastAsia" w:eastAsiaTheme="minorEastAsia" w:cstheme="minorEastAsia"/>
                <w:sz w:val="21"/>
                <w:szCs w:val="21"/>
                <w:lang w:val="en-GB"/>
              </w:rPr>
              <w:t>应急物资的准备、维护、保养：(1)应急物资的准备：简易单架、跌达损伤药品、包扎纱布。 (2)各种应急物资要配备齐全并加强日常管理。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GB"/>
              </w:rPr>
              <w:t>急救措施：1)查明事故原因及责任人。2)以书面形式向上级写出报告，包括发生事故时间、地点、受伤(死亡)人员姓名、 性别、年龄、工种、伤害程度、受伤部位。3)制定有效的预防措施，防止此类事故再次发生。 4)组织所有人员进行事故教育。5)向所有人员进行事故教育。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填写部门：</w:t>
            </w:r>
            <w:r>
              <w:rPr>
                <w:rFonts w:hint="eastAsia" w:asciiTheme="minorEastAsia" w:hAnsiTheme="minorEastAsia" w:eastAsiaTheme="minorEastAsia" w:cstheme="minorEastAsia"/>
                <w:sz w:val="21"/>
                <w:szCs w:val="21"/>
                <w:lang w:eastAsia="zh-CN"/>
              </w:rPr>
              <w:t>综合部</w:t>
            </w:r>
            <w:r>
              <w:rPr>
                <w:rFonts w:hint="eastAsia" w:asciiTheme="minorEastAsia" w:hAnsiTheme="minorEastAsia" w:eastAsiaTheme="minorEastAsia" w:cstheme="minorEastAsia"/>
                <w:sz w:val="21"/>
                <w:szCs w:val="21"/>
              </w:rPr>
              <w:t>填写日期：</w:t>
            </w:r>
            <w:r>
              <w:rPr>
                <w:rFonts w:hint="eastAsia" w:asciiTheme="minorEastAsia" w:hAnsiTheme="minorEastAsia" w:eastAsiaTheme="minorEastAsia" w:cstheme="minorEastAsia"/>
                <w:sz w:val="21"/>
                <w:szCs w:val="21"/>
                <w:lang w:eastAsia="zh-CN"/>
              </w:rPr>
              <w:t>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lang w:val="en-US" w:eastAsia="zh-CN"/>
              </w:rPr>
              <w:t>23</w:t>
            </w:r>
            <w:r>
              <w:rPr>
                <w:rFonts w:hint="eastAsia" w:asciiTheme="minorEastAsia" w:hAnsiTheme="minorEastAsia" w:eastAsiaTheme="minorEastAsia" w:cstheme="minorEastAsia"/>
                <w:sz w:val="21"/>
                <w:szCs w:val="21"/>
                <w:lang w:eastAsia="zh-CN"/>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－－出示了</w:t>
            </w:r>
            <w:r>
              <w:rPr>
                <w:rFonts w:hint="eastAsia" w:asciiTheme="minorEastAsia" w:hAnsiTheme="minorEastAsia" w:eastAsiaTheme="minorEastAsia" w:cstheme="minorEastAsia"/>
                <w:sz w:val="21"/>
                <w:szCs w:val="21"/>
                <w:lang w:val="en-US" w:eastAsia="zh-CN"/>
              </w:rPr>
              <w:t>2022年9月18日</w:t>
            </w:r>
            <w:r>
              <w:rPr>
                <w:rFonts w:hint="eastAsia" w:asciiTheme="minorEastAsia" w:hAnsiTheme="minorEastAsia" w:eastAsiaTheme="minorEastAsia" w:cstheme="minorEastAsia"/>
                <w:sz w:val="21"/>
                <w:szCs w:val="21"/>
                <w:lang w:eastAsia="zh-CN"/>
              </w:rPr>
              <w:t>“触电</w:t>
            </w:r>
            <w:r>
              <w:rPr>
                <w:rFonts w:hint="eastAsia" w:asciiTheme="minorEastAsia" w:hAnsiTheme="minorEastAsia" w:eastAsiaTheme="minorEastAsia" w:cstheme="minorEastAsia"/>
                <w:sz w:val="21"/>
                <w:szCs w:val="21"/>
              </w:rPr>
              <w:t>演练记录</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－－出示了</w:t>
            </w:r>
            <w:r>
              <w:rPr>
                <w:rFonts w:hint="eastAsia" w:asciiTheme="minorEastAsia" w:hAnsiTheme="minorEastAsia" w:eastAsiaTheme="minorEastAsia" w:cstheme="minorEastAsia"/>
                <w:sz w:val="21"/>
                <w:szCs w:val="21"/>
                <w:lang w:val="en-US" w:eastAsia="zh-CN"/>
              </w:rPr>
              <w:t>2022年9月8日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000000"/>
                <w:sz w:val="21"/>
                <w:szCs w:val="21"/>
              </w:rPr>
              <w:t>天然气泄漏应急演练</w:t>
            </w:r>
            <w:r>
              <w:rPr>
                <w:rFonts w:hint="eastAsia" w:asciiTheme="minorEastAsia" w:hAnsiTheme="minorEastAsia" w:eastAsiaTheme="minorEastAsia" w:cstheme="minorEastAsia"/>
                <w:sz w:val="21"/>
                <w:szCs w:val="21"/>
              </w:rPr>
              <w:t>记录</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提供了“应急预案评审记录”，演练后对预案适宜性充分性进行了评审，结论：预案适用无需修订。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GB"/>
              </w:rPr>
              <w:t xml:space="preserve">应急演练后对应急预案进行了评审，应急预案不重要修订。 </w:t>
            </w:r>
          </w:p>
        </w:tc>
        <w:tc>
          <w:tcPr>
            <w:tcW w:w="780" w:type="dxa"/>
          </w:tcPr>
          <w:p>
            <w:pPr>
              <w:pStyle w:val="3"/>
              <w:spacing w:line="360" w:lineRule="auto"/>
              <w:rPr>
                <w:rFonts w:hint="default"/>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56" w:type="dxa"/>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内部审核</w:t>
            </w:r>
          </w:p>
        </w:tc>
        <w:tc>
          <w:tcPr>
            <w:tcW w:w="1164" w:type="dxa"/>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EO</w:t>
            </w:r>
            <w:r>
              <w:rPr>
                <w:rFonts w:hint="eastAsia" w:asciiTheme="minorEastAsia" w:hAnsiTheme="minorEastAsia" w:eastAsiaTheme="minorEastAsia" w:cstheme="minorEastAsia"/>
                <w:sz w:val="21"/>
                <w:szCs w:val="21"/>
              </w:rPr>
              <w:t>9.2</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p>
        </w:tc>
        <w:tc>
          <w:tcPr>
            <w:tcW w:w="1080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公司制定《内部审核控制程序》，对内部审核方案策划规定：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1.频次：内审每年进行一次，两次内部审核的时间间隔不超过12个月。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2.方法：按部门/过程审核。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3.职责：体系负责人组织内部审核活动。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4.策划要求：范围、准则、工作分配等。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5.报告：体系负责人在内部审核结束及纠正措施完成后应向总经理报告审核结果。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6.提供了《</w:t>
            </w:r>
            <w:r>
              <w:rPr>
                <w:rFonts w:hint="eastAsia" w:asciiTheme="minorEastAsia" w:hAnsiTheme="minorEastAsia" w:eastAsiaTheme="minorEastAsia" w:cstheme="minorEastAsia"/>
                <w:sz w:val="21"/>
                <w:szCs w:val="21"/>
                <w:lang w:eastAsia="zh-CN"/>
              </w:rPr>
              <w:t>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年内部审核实施计划》，发布了内部管理体系审核通知，计划内容有：目的、范围、审核准则、审核时间</w:t>
            </w:r>
            <w:r>
              <w:rPr>
                <w:rFonts w:hint="eastAsia" w:asciiTheme="minorEastAsia" w:hAnsiTheme="minorEastAsia" w:eastAsiaTheme="minorEastAsia" w:cstheme="minorEastAsia"/>
                <w:sz w:val="21"/>
                <w:szCs w:val="21"/>
                <w:lang w:eastAsia="zh-CN"/>
              </w:rPr>
              <w:t>2022年1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lang w:eastAsia="zh-CN"/>
              </w:rPr>
              <w:t>月22日</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eastAsia="zh-CN"/>
              </w:rPr>
              <w:t>内</w:t>
            </w:r>
            <w:r>
              <w:rPr>
                <w:rFonts w:hint="eastAsia" w:asciiTheme="minorEastAsia" w:hAnsiTheme="minorEastAsia" w:eastAsiaTheme="minorEastAsia" w:cstheme="minorEastAsia"/>
                <w:sz w:val="21"/>
                <w:szCs w:val="21"/>
              </w:rPr>
              <w:t>审员：</w:t>
            </w:r>
            <w:r>
              <w:rPr>
                <w:rFonts w:hint="eastAsia" w:asciiTheme="minorEastAsia" w:hAnsiTheme="minorEastAsia" w:eastAsiaTheme="minorEastAsia" w:cstheme="minorEastAsia"/>
                <w:sz w:val="21"/>
                <w:szCs w:val="21"/>
                <w:lang w:eastAsia="zh-CN"/>
              </w:rPr>
              <w:t>孔德山、李霞。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查阅</w:t>
            </w:r>
            <w:r>
              <w:rPr>
                <w:rFonts w:hint="eastAsia" w:asciiTheme="minorEastAsia" w:hAnsiTheme="minorEastAsia" w:eastAsiaTheme="minorEastAsia" w:cstheme="minorEastAsia"/>
                <w:sz w:val="21"/>
                <w:szCs w:val="21"/>
                <w:lang w:eastAsia="zh-CN"/>
              </w:rPr>
              <w:t>202</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年度内部审核有关记录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sz w:val="21"/>
                <w:szCs w:val="21"/>
              </w:rPr>
              <w:t>提供了审核组名单：组长：</w:t>
            </w:r>
            <w:r>
              <w:rPr>
                <w:rFonts w:hint="eastAsia" w:asciiTheme="minorEastAsia" w:hAnsiTheme="minorEastAsia" w:eastAsiaTheme="minorEastAsia" w:cstheme="minorEastAsia"/>
                <w:sz w:val="21"/>
                <w:szCs w:val="21"/>
                <w:lang w:eastAsia="zh-CN"/>
              </w:rPr>
              <w:t>孔德山</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组员：</w:t>
            </w:r>
            <w:r>
              <w:rPr>
                <w:rFonts w:hint="eastAsia" w:asciiTheme="minorEastAsia" w:hAnsiTheme="minorEastAsia" w:eastAsiaTheme="minorEastAsia" w:cstheme="minorEastAsia"/>
                <w:sz w:val="21"/>
                <w:szCs w:val="21"/>
                <w:lang w:eastAsia="zh-CN"/>
              </w:rPr>
              <w:t>李霞</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审核时间：2022.10.22。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提供了《内审首次会议签到表》，参加人有各部门负责人等。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提供了《内审检查表》，经查阅对照，受审核部门涉及条款与公司管理体系职责分配相一致。审核记录基本满足要求。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.提供了《内审不合格报告》</w:t>
            </w:r>
            <w:r>
              <w:rPr>
                <w:rFonts w:hint="eastAsia" w:asciiTheme="minorEastAsia" w:hAnsiTheme="minorEastAsia" w:eastAsiaTheme="minorEastAsia" w:cstheme="minorEastAsia"/>
                <w:sz w:val="21"/>
                <w:szCs w:val="21"/>
                <w:lang w:eastAsia="zh-CN"/>
              </w:rPr>
              <w:t>，涉及</w:t>
            </w:r>
            <w:r>
              <w:rPr>
                <w:rFonts w:hint="eastAsia" w:asciiTheme="minorEastAsia" w:hAnsiTheme="minorEastAsia" w:eastAsiaTheme="minorEastAsia" w:cstheme="minorEastAsia"/>
                <w:sz w:val="21"/>
                <w:szCs w:val="21"/>
                <w:lang w:val="en-US" w:eastAsia="zh-CN"/>
              </w:rPr>
              <w:t>EO7.2条款。</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经过整改不符合已经关闭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对于涉及不符合项的部门，进行了原因分析并制定纠正措施计划，经过审核组验证，纠正措施有效。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理体系标准条款学习，进行不符合项整改，要求在5日内整改完毕，由管代组织相关内审员对整改后的情况进行跟踪验证，确认纠正及纠正措施有效，体系的建立、运行符合质量管理体系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审核结论：基本符合计划安排和标准的要求，并得到了较有效实施和保持， 仍需进一步改进。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审核组长：</w:t>
            </w:r>
            <w:r>
              <w:rPr>
                <w:rFonts w:hint="eastAsia" w:asciiTheme="minorEastAsia" w:hAnsiTheme="minorEastAsia" w:eastAsiaTheme="minorEastAsia" w:cstheme="minorEastAsia"/>
                <w:color w:val="000000"/>
                <w:sz w:val="21"/>
                <w:szCs w:val="21"/>
                <w:lang w:eastAsia="zh-CN"/>
              </w:rPr>
              <w:t>孔德山</w:t>
            </w:r>
            <w:r>
              <w:rPr>
                <w:rFonts w:hint="eastAsia" w:asciiTheme="minorEastAsia" w:hAnsiTheme="minorEastAsia" w:eastAsiaTheme="minorEastAsia" w:cstheme="minorEastAsia"/>
                <w:b/>
                <w:bCs/>
                <w:color w:val="000000"/>
                <w:sz w:val="21"/>
                <w:szCs w:val="21"/>
              </w:rPr>
              <w:t xml:space="preserve">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sz w:val="21"/>
                <w:szCs w:val="21"/>
              </w:rPr>
              <w:t>批准：</w:t>
            </w:r>
            <w:r>
              <w:rPr>
                <w:rFonts w:hint="eastAsia" w:asciiTheme="minorEastAsia" w:hAnsiTheme="minorEastAsia" w:eastAsiaTheme="minorEastAsia" w:cstheme="minorEastAsia"/>
                <w:sz w:val="21"/>
                <w:szCs w:val="21"/>
                <w:lang w:eastAsia="zh-CN"/>
              </w:rPr>
              <w:t>蔡建金</w:t>
            </w:r>
            <w:r>
              <w:rPr>
                <w:rFonts w:hint="eastAsia" w:asciiTheme="minorEastAsia" w:hAnsiTheme="minorEastAsia" w:eastAsiaTheme="minorEastAsia" w:cstheme="minorEastAsia"/>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提供了内审员</w:t>
            </w:r>
            <w:r>
              <w:rPr>
                <w:rFonts w:hint="eastAsia" w:asciiTheme="minorEastAsia" w:hAnsiTheme="minorEastAsia" w:eastAsiaTheme="minorEastAsia" w:cstheme="minorEastAsia"/>
                <w:sz w:val="21"/>
                <w:szCs w:val="21"/>
                <w:lang w:eastAsia="zh-CN"/>
              </w:rPr>
              <w:t>任命</w:t>
            </w:r>
            <w:r>
              <w:rPr>
                <w:rFonts w:hint="eastAsia" w:asciiTheme="minorEastAsia" w:hAnsiTheme="minorEastAsia" w:eastAsiaTheme="minorEastAsia" w:cstheme="minorEastAsia"/>
                <w:sz w:val="21"/>
                <w:szCs w:val="21"/>
              </w:rPr>
              <w:t>，审核员没有审核自己部门工作，具有独立性。</w:t>
            </w:r>
          </w:p>
        </w:tc>
        <w:tc>
          <w:tcPr>
            <w:tcW w:w="780" w:type="dxa"/>
          </w:tcPr>
          <w:p>
            <w:pPr>
              <w:spacing w:line="360" w:lineRule="auto"/>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956" w:type="dxa"/>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不符合和纠正措施</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事件调查、不符合、纠正措施和预防措施</w:t>
            </w:r>
          </w:p>
        </w:tc>
        <w:tc>
          <w:tcPr>
            <w:tcW w:w="1164" w:type="dxa"/>
            <w:vAlign w:val="top"/>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EO</w:t>
            </w:r>
            <w:r>
              <w:rPr>
                <w:rFonts w:hint="eastAsia" w:asciiTheme="minorEastAsia" w:hAnsiTheme="minorEastAsia" w:eastAsiaTheme="minorEastAsia" w:cstheme="minorEastAsia"/>
                <w:sz w:val="21"/>
                <w:szCs w:val="21"/>
              </w:rPr>
              <w:t>10.2</w:t>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p>
        </w:tc>
        <w:tc>
          <w:tcPr>
            <w:tcW w:w="10809"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企业通过过程的监视和测量、绩效考核、内审、管理评审等方式和机制，确保质量管理制度有效执行。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企业经过策划，采用对产品的监视和测量，对不合格品控制等来证实产品的符合性。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企业制定《不符合与纠正措施控制程序》等，通过分析实际存在的或潜在的不符合的原因，制定纠正和预防措施，并验证其效果，以防止不符合的发生／再发生，实现持续改进绩效的目的。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对内审中的不符合，采取了纠正措</w:t>
            </w:r>
            <w:r>
              <w:rPr>
                <w:rFonts w:hint="eastAsia" w:asciiTheme="minorEastAsia" w:hAnsiTheme="minorEastAsia" w:eastAsiaTheme="minorEastAsia" w:cstheme="minorEastAsia"/>
                <w:sz w:val="21"/>
                <w:szCs w:val="21"/>
              </w:rPr>
              <w:t xml:space="preserve">施，并验证；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为保证公司</w:t>
            </w:r>
            <w:r>
              <w:rPr>
                <w:rFonts w:hint="eastAsia" w:asciiTheme="minorEastAsia" w:hAnsiTheme="minorEastAsia" w:eastAsiaTheme="minorEastAsia" w:cstheme="minorEastAsia"/>
                <w:sz w:val="21"/>
                <w:szCs w:val="21"/>
                <w:lang w:val="en-US" w:eastAsia="zh-CN"/>
              </w:rPr>
              <w:t>环境</w:t>
            </w:r>
            <w:r>
              <w:rPr>
                <w:rFonts w:hint="eastAsia" w:asciiTheme="minorEastAsia" w:hAnsiTheme="minorEastAsia" w:eastAsiaTheme="minorEastAsia" w:cstheme="minorEastAsia"/>
                <w:sz w:val="21"/>
                <w:szCs w:val="21"/>
              </w:rPr>
              <w:t>管理体系的有效运行，通过对</w:t>
            </w:r>
            <w:r>
              <w:rPr>
                <w:rFonts w:hint="eastAsia" w:asciiTheme="minorEastAsia" w:hAnsiTheme="minorEastAsia" w:eastAsiaTheme="minorEastAsia" w:cstheme="minorEastAsia"/>
                <w:sz w:val="21"/>
                <w:szCs w:val="21"/>
                <w:lang w:val="en-US" w:eastAsia="zh-CN"/>
              </w:rPr>
              <w:t>环境</w:t>
            </w:r>
            <w:r>
              <w:rPr>
                <w:rFonts w:hint="eastAsia" w:asciiTheme="minorEastAsia" w:hAnsiTheme="minorEastAsia" w:eastAsiaTheme="minorEastAsia" w:cstheme="minorEastAsia"/>
                <w:sz w:val="21"/>
                <w:szCs w:val="21"/>
              </w:rPr>
              <w:t>事件的调查处理，以确保管理体系运行的有效性。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经查在公司正常经营活动中，出现了轻微不符合，部门已经采取纠正和纠正措施，经验证纠正措施有效。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w:t>
            </w:r>
            <w:r>
              <w:rPr>
                <w:rFonts w:hint="eastAsia" w:asciiTheme="minorEastAsia" w:hAnsiTheme="minorEastAsia" w:eastAsiaTheme="minorEastAsia" w:cstheme="minorEastAsia"/>
                <w:sz w:val="21"/>
                <w:szCs w:val="21"/>
                <w:lang w:eastAsia="zh-CN"/>
              </w:rPr>
              <w:t>经营</w:t>
            </w:r>
            <w:r>
              <w:rPr>
                <w:rFonts w:hint="eastAsia" w:asciiTheme="minorEastAsia" w:hAnsiTheme="minorEastAsia" w:eastAsiaTheme="minorEastAsia" w:cstheme="minorEastAsia"/>
                <w:sz w:val="21"/>
                <w:szCs w:val="21"/>
              </w:rPr>
              <w:t>活动未发生过环境、安全等事故。</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bCs w:val="0"/>
                <w:spacing w:val="0"/>
                <w:sz w:val="21"/>
                <w:szCs w:val="21"/>
              </w:rPr>
              <w:t>查持续改进：</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a. 通过管理体系运行，管理方针、目标的实施，内审、管理评审进行持续改进；</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b. 通过数据分析、纠正、预防措施实施达到持续改进；</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c. 通过顾客满意度调查，改进、提高产品质量，满足顾客需求，达到持续改进的目的。</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val="0"/>
                <w:spacing w:val="0"/>
                <w:sz w:val="21"/>
                <w:szCs w:val="21"/>
              </w:rPr>
              <w:t>管理评审提出改进措施</w:t>
            </w:r>
            <w:r>
              <w:rPr>
                <w:rFonts w:hint="eastAsia" w:asciiTheme="minorEastAsia" w:hAnsiTheme="minorEastAsia" w:eastAsiaTheme="minorEastAsia" w:cstheme="minorEastAsia"/>
                <w:bCs w:val="0"/>
                <w:spacing w:val="0"/>
                <w:sz w:val="21"/>
                <w:szCs w:val="21"/>
                <w:lang w:eastAsia="zh-CN"/>
              </w:rPr>
              <w:t>已整改完毕</w:t>
            </w:r>
            <w:r>
              <w:rPr>
                <w:rFonts w:hint="eastAsia" w:asciiTheme="minorEastAsia" w:hAnsiTheme="minorEastAsia" w:eastAsiaTheme="minorEastAsia" w:cstheme="minorEastAsia"/>
                <w:bCs w:val="0"/>
                <w:spacing w:val="0"/>
                <w:sz w:val="21"/>
                <w:szCs w:val="21"/>
              </w:rPr>
              <w:t>。</w:t>
            </w:r>
          </w:p>
        </w:tc>
        <w:tc>
          <w:tcPr>
            <w:tcW w:w="780" w:type="dxa"/>
          </w:tcPr>
          <w:p>
            <w:pPr>
              <w:spacing w:line="360" w:lineRule="auto"/>
            </w:pPr>
            <w:r>
              <w:rPr>
                <w:rFonts w:hint="eastAsia"/>
                <w:lang w:val="en-US" w:eastAsia="zh-CN"/>
              </w:rPr>
              <w:t>Y</w:t>
            </w:r>
          </w:p>
        </w:tc>
      </w:tr>
    </w:tbl>
    <w:p>
      <w:r>
        <w:ptab w:relativeTo="margin" w:alignment="center" w:leader="none"/>
      </w:r>
    </w:p>
    <w:p/>
    <w:p/>
    <w:p>
      <w:pPr>
        <w:pStyle w:val="6"/>
      </w:pPr>
      <w:r>
        <w:rPr>
          <w:rFonts w:hint="eastAsia"/>
        </w:rPr>
        <w:t>说明：不符合标注N</w:t>
      </w:r>
    </w:p>
    <w:p>
      <w:pPr>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-152400</wp:posOffset>
          </wp:positionH>
          <wp:positionV relativeFrom="paragraph">
            <wp:posOffset>6350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8" o:spid="_x0000_s4098"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7"/>
      <w:pBdr>
        <w:bottom w:val="none" w:color="auto" w:sz="0" w:space="0"/>
      </w:pBdr>
      <w:spacing w:line="320" w:lineRule="exact"/>
      <w:ind w:firstLine="756" w:firstLineChars="400"/>
      <w:jc w:val="left"/>
    </w:pPr>
    <w:r>
      <w:rPr>
        <w:rStyle w:val="13"/>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38A8C"/>
    <w:multiLevelType w:val="singleLevel"/>
    <w:tmpl w:val="33638A8C"/>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BjOGZiOGIwYzZhZjY0NGFmMmU3MGM4YjkxMmEwYWUifQ=="/>
  </w:docVars>
  <w:rsids>
    <w:rsidRoot w:val="009973B4"/>
    <w:rsid w:val="000237F6"/>
    <w:rsid w:val="0003373A"/>
    <w:rsid w:val="001A2D7F"/>
    <w:rsid w:val="00337922"/>
    <w:rsid w:val="00340867"/>
    <w:rsid w:val="00380837"/>
    <w:rsid w:val="003A198A"/>
    <w:rsid w:val="00410914"/>
    <w:rsid w:val="00414469"/>
    <w:rsid w:val="00536930"/>
    <w:rsid w:val="00564E53"/>
    <w:rsid w:val="00644FE2"/>
    <w:rsid w:val="0067640C"/>
    <w:rsid w:val="006E678B"/>
    <w:rsid w:val="007757F3"/>
    <w:rsid w:val="007E6AEB"/>
    <w:rsid w:val="008401A5"/>
    <w:rsid w:val="00861F11"/>
    <w:rsid w:val="008973EE"/>
    <w:rsid w:val="008E5CA5"/>
    <w:rsid w:val="00971600"/>
    <w:rsid w:val="009973B4"/>
    <w:rsid w:val="009C28C1"/>
    <w:rsid w:val="009F7EED"/>
    <w:rsid w:val="00AF0AAB"/>
    <w:rsid w:val="00BF597E"/>
    <w:rsid w:val="00C51A36"/>
    <w:rsid w:val="00C55228"/>
    <w:rsid w:val="00CE315A"/>
    <w:rsid w:val="00CE7B89"/>
    <w:rsid w:val="00CF45EE"/>
    <w:rsid w:val="00D06F59"/>
    <w:rsid w:val="00D8388C"/>
    <w:rsid w:val="00EB0164"/>
    <w:rsid w:val="00ED0F62"/>
    <w:rsid w:val="00FB6645"/>
    <w:rsid w:val="01792184"/>
    <w:rsid w:val="02561596"/>
    <w:rsid w:val="02905FAB"/>
    <w:rsid w:val="03056749"/>
    <w:rsid w:val="03516B68"/>
    <w:rsid w:val="04301D26"/>
    <w:rsid w:val="04FA08E9"/>
    <w:rsid w:val="05072AD8"/>
    <w:rsid w:val="05301C9E"/>
    <w:rsid w:val="059A554E"/>
    <w:rsid w:val="075B691E"/>
    <w:rsid w:val="077424A2"/>
    <w:rsid w:val="07D05C90"/>
    <w:rsid w:val="085C69A4"/>
    <w:rsid w:val="08AB2D38"/>
    <w:rsid w:val="08B35B8F"/>
    <w:rsid w:val="0A733822"/>
    <w:rsid w:val="0A76049B"/>
    <w:rsid w:val="0ACF24C8"/>
    <w:rsid w:val="0B5352E0"/>
    <w:rsid w:val="0BC016C1"/>
    <w:rsid w:val="0D822467"/>
    <w:rsid w:val="0DB53049"/>
    <w:rsid w:val="0E3A5F83"/>
    <w:rsid w:val="0EB70AFB"/>
    <w:rsid w:val="0EE47261"/>
    <w:rsid w:val="0F016E6A"/>
    <w:rsid w:val="0F4C3CF6"/>
    <w:rsid w:val="0F7A3E4E"/>
    <w:rsid w:val="0FAE6A3F"/>
    <w:rsid w:val="108219C2"/>
    <w:rsid w:val="10EF00F3"/>
    <w:rsid w:val="11027F34"/>
    <w:rsid w:val="111E0625"/>
    <w:rsid w:val="11612D9B"/>
    <w:rsid w:val="1178096B"/>
    <w:rsid w:val="117E03E3"/>
    <w:rsid w:val="11DD2155"/>
    <w:rsid w:val="120365A6"/>
    <w:rsid w:val="1281369B"/>
    <w:rsid w:val="12866648"/>
    <w:rsid w:val="137C4892"/>
    <w:rsid w:val="143B3242"/>
    <w:rsid w:val="14E704E5"/>
    <w:rsid w:val="14EF4369"/>
    <w:rsid w:val="1506722E"/>
    <w:rsid w:val="156B5C0B"/>
    <w:rsid w:val="15F242B8"/>
    <w:rsid w:val="16570580"/>
    <w:rsid w:val="17905CED"/>
    <w:rsid w:val="18314AE8"/>
    <w:rsid w:val="189B757B"/>
    <w:rsid w:val="1A307C74"/>
    <w:rsid w:val="1A3D625A"/>
    <w:rsid w:val="1AE63B2D"/>
    <w:rsid w:val="1BBE0FF8"/>
    <w:rsid w:val="1D8955CB"/>
    <w:rsid w:val="1D9F2C02"/>
    <w:rsid w:val="1DD02468"/>
    <w:rsid w:val="1E4B58A2"/>
    <w:rsid w:val="1E543091"/>
    <w:rsid w:val="1EC44048"/>
    <w:rsid w:val="1F7B12A5"/>
    <w:rsid w:val="1F8F7BF5"/>
    <w:rsid w:val="202A1006"/>
    <w:rsid w:val="20835883"/>
    <w:rsid w:val="214E67BA"/>
    <w:rsid w:val="21560BEA"/>
    <w:rsid w:val="22C86ECF"/>
    <w:rsid w:val="23250882"/>
    <w:rsid w:val="23277943"/>
    <w:rsid w:val="23B83E1D"/>
    <w:rsid w:val="23C546A2"/>
    <w:rsid w:val="24105D3D"/>
    <w:rsid w:val="24402D36"/>
    <w:rsid w:val="24975D3F"/>
    <w:rsid w:val="24A15322"/>
    <w:rsid w:val="254501C0"/>
    <w:rsid w:val="26B62FAA"/>
    <w:rsid w:val="26E84B39"/>
    <w:rsid w:val="272D6CD8"/>
    <w:rsid w:val="2924107C"/>
    <w:rsid w:val="29966FCF"/>
    <w:rsid w:val="29F41280"/>
    <w:rsid w:val="29F5053A"/>
    <w:rsid w:val="2A877CA2"/>
    <w:rsid w:val="2AF56B7B"/>
    <w:rsid w:val="2B18314B"/>
    <w:rsid w:val="2B986BF5"/>
    <w:rsid w:val="2C154BC2"/>
    <w:rsid w:val="2C2758D3"/>
    <w:rsid w:val="2C7350E0"/>
    <w:rsid w:val="2C952E29"/>
    <w:rsid w:val="2E6E1D8B"/>
    <w:rsid w:val="2E993699"/>
    <w:rsid w:val="2FEA3FBD"/>
    <w:rsid w:val="2FF63FA8"/>
    <w:rsid w:val="30041147"/>
    <w:rsid w:val="30B21281"/>
    <w:rsid w:val="312A1B83"/>
    <w:rsid w:val="31597D3A"/>
    <w:rsid w:val="32445E5A"/>
    <w:rsid w:val="328E2276"/>
    <w:rsid w:val="334D0890"/>
    <w:rsid w:val="33ED121E"/>
    <w:rsid w:val="341D4CD5"/>
    <w:rsid w:val="34327602"/>
    <w:rsid w:val="34A61CC3"/>
    <w:rsid w:val="35C624D3"/>
    <w:rsid w:val="37BA7AD7"/>
    <w:rsid w:val="38277DAF"/>
    <w:rsid w:val="3842549E"/>
    <w:rsid w:val="38E16C80"/>
    <w:rsid w:val="391C32AC"/>
    <w:rsid w:val="39DF6321"/>
    <w:rsid w:val="3A3A0D76"/>
    <w:rsid w:val="3A4A193A"/>
    <w:rsid w:val="3A61549C"/>
    <w:rsid w:val="3ADF3238"/>
    <w:rsid w:val="3C060909"/>
    <w:rsid w:val="3C064FC9"/>
    <w:rsid w:val="3C3914DF"/>
    <w:rsid w:val="3C572BF9"/>
    <w:rsid w:val="3CE267FD"/>
    <w:rsid w:val="3CF96E86"/>
    <w:rsid w:val="3D811CCF"/>
    <w:rsid w:val="3DBC0C92"/>
    <w:rsid w:val="3E3E6E6C"/>
    <w:rsid w:val="3E4D3C7C"/>
    <w:rsid w:val="3E842275"/>
    <w:rsid w:val="3E931B78"/>
    <w:rsid w:val="3F682ADC"/>
    <w:rsid w:val="3F820939"/>
    <w:rsid w:val="3FD22E54"/>
    <w:rsid w:val="3FE32053"/>
    <w:rsid w:val="417D2A96"/>
    <w:rsid w:val="41BA7498"/>
    <w:rsid w:val="41D103D1"/>
    <w:rsid w:val="4273217E"/>
    <w:rsid w:val="428C2F2E"/>
    <w:rsid w:val="43486471"/>
    <w:rsid w:val="44090091"/>
    <w:rsid w:val="4431700D"/>
    <w:rsid w:val="44512A1B"/>
    <w:rsid w:val="44926B19"/>
    <w:rsid w:val="453A31F7"/>
    <w:rsid w:val="457621F3"/>
    <w:rsid w:val="45794131"/>
    <w:rsid w:val="45DD462C"/>
    <w:rsid w:val="46862D23"/>
    <w:rsid w:val="46A07FE7"/>
    <w:rsid w:val="46BC3555"/>
    <w:rsid w:val="47281D90"/>
    <w:rsid w:val="480D2A22"/>
    <w:rsid w:val="48427D12"/>
    <w:rsid w:val="48517B76"/>
    <w:rsid w:val="49575660"/>
    <w:rsid w:val="495B1697"/>
    <w:rsid w:val="49877552"/>
    <w:rsid w:val="49991B7D"/>
    <w:rsid w:val="4A5D6C22"/>
    <w:rsid w:val="4AFB201B"/>
    <w:rsid w:val="4B1B4393"/>
    <w:rsid w:val="4DB546F4"/>
    <w:rsid w:val="4E012630"/>
    <w:rsid w:val="4E650BB7"/>
    <w:rsid w:val="4E6B7EC1"/>
    <w:rsid w:val="4E8F65FF"/>
    <w:rsid w:val="4F064E15"/>
    <w:rsid w:val="4F376868"/>
    <w:rsid w:val="4F6C2A52"/>
    <w:rsid w:val="4F7F76BE"/>
    <w:rsid w:val="4FA83182"/>
    <w:rsid w:val="4FB8672C"/>
    <w:rsid w:val="4FCE1167"/>
    <w:rsid w:val="500E60D8"/>
    <w:rsid w:val="51AB1A03"/>
    <w:rsid w:val="5279085D"/>
    <w:rsid w:val="527A4E94"/>
    <w:rsid w:val="5359055D"/>
    <w:rsid w:val="54A26B7B"/>
    <w:rsid w:val="54C811C0"/>
    <w:rsid w:val="54F02029"/>
    <w:rsid w:val="54F07714"/>
    <w:rsid w:val="56634D44"/>
    <w:rsid w:val="56B42B4A"/>
    <w:rsid w:val="56FF3E18"/>
    <w:rsid w:val="58816255"/>
    <w:rsid w:val="58A92C57"/>
    <w:rsid w:val="58CC3B54"/>
    <w:rsid w:val="58DF76EE"/>
    <w:rsid w:val="594A480D"/>
    <w:rsid w:val="59594A08"/>
    <w:rsid w:val="59A239D8"/>
    <w:rsid w:val="5B5803AC"/>
    <w:rsid w:val="5C011ECB"/>
    <w:rsid w:val="5C84782F"/>
    <w:rsid w:val="5CF039B6"/>
    <w:rsid w:val="5D420DB6"/>
    <w:rsid w:val="5D435A95"/>
    <w:rsid w:val="5DB2354F"/>
    <w:rsid w:val="5E1A09D3"/>
    <w:rsid w:val="5EA12B9A"/>
    <w:rsid w:val="5EE52C75"/>
    <w:rsid w:val="5F232846"/>
    <w:rsid w:val="5F4B7C0E"/>
    <w:rsid w:val="60527752"/>
    <w:rsid w:val="605B0C85"/>
    <w:rsid w:val="609F2885"/>
    <w:rsid w:val="61D520F5"/>
    <w:rsid w:val="637B1FF1"/>
    <w:rsid w:val="64572560"/>
    <w:rsid w:val="64727826"/>
    <w:rsid w:val="652F3FB0"/>
    <w:rsid w:val="65412805"/>
    <w:rsid w:val="655A5DA5"/>
    <w:rsid w:val="658B36F7"/>
    <w:rsid w:val="660C1021"/>
    <w:rsid w:val="662C5448"/>
    <w:rsid w:val="66AB551F"/>
    <w:rsid w:val="66B50C1D"/>
    <w:rsid w:val="671C7835"/>
    <w:rsid w:val="67415E27"/>
    <w:rsid w:val="679B349D"/>
    <w:rsid w:val="67C80950"/>
    <w:rsid w:val="67CD07F7"/>
    <w:rsid w:val="67F753D8"/>
    <w:rsid w:val="68645E27"/>
    <w:rsid w:val="68673177"/>
    <w:rsid w:val="68C62500"/>
    <w:rsid w:val="691B3B5C"/>
    <w:rsid w:val="694458CE"/>
    <w:rsid w:val="6A327846"/>
    <w:rsid w:val="6A4C600A"/>
    <w:rsid w:val="6A7C2D67"/>
    <w:rsid w:val="6B8365B5"/>
    <w:rsid w:val="6BE73F54"/>
    <w:rsid w:val="6C5D5CAD"/>
    <w:rsid w:val="6C8B3BA6"/>
    <w:rsid w:val="6CA562AE"/>
    <w:rsid w:val="6D8A2A33"/>
    <w:rsid w:val="6D9149D0"/>
    <w:rsid w:val="6DB0052D"/>
    <w:rsid w:val="6FC74D07"/>
    <w:rsid w:val="6FD81D27"/>
    <w:rsid w:val="6FE67E7E"/>
    <w:rsid w:val="70041737"/>
    <w:rsid w:val="704214EF"/>
    <w:rsid w:val="70AC7FE9"/>
    <w:rsid w:val="71531B61"/>
    <w:rsid w:val="715C411C"/>
    <w:rsid w:val="71AA0808"/>
    <w:rsid w:val="72685795"/>
    <w:rsid w:val="727A2FD1"/>
    <w:rsid w:val="73177BC2"/>
    <w:rsid w:val="733D609C"/>
    <w:rsid w:val="736D79EA"/>
    <w:rsid w:val="73A54D40"/>
    <w:rsid w:val="73CF6789"/>
    <w:rsid w:val="73F54CD8"/>
    <w:rsid w:val="746848B0"/>
    <w:rsid w:val="748E7064"/>
    <w:rsid w:val="74F239A1"/>
    <w:rsid w:val="755C6ECA"/>
    <w:rsid w:val="756954D9"/>
    <w:rsid w:val="75DA79A3"/>
    <w:rsid w:val="762633E9"/>
    <w:rsid w:val="78FF4573"/>
    <w:rsid w:val="793B1AC8"/>
    <w:rsid w:val="797F01F4"/>
    <w:rsid w:val="79903016"/>
    <w:rsid w:val="79A4014B"/>
    <w:rsid w:val="79A95C97"/>
    <w:rsid w:val="7A544A8A"/>
    <w:rsid w:val="7A7C6425"/>
    <w:rsid w:val="7BBC2DB7"/>
    <w:rsid w:val="7C7F0075"/>
    <w:rsid w:val="7CB20B03"/>
    <w:rsid w:val="7DF81159"/>
    <w:rsid w:val="7E564500"/>
    <w:rsid w:val="7F3954F7"/>
    <w:rsid w:val="7F7C2EFE"/>
    <w:rsid w:val="7FB641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sz w:val="28"/>
    </w:rPr>
  </w:style>
  <w:style w:type="paragraph" w:styleId="4">
    <w:name w:val="Plain Text"/>
    <w:basedOn w:val="1"/>
    <w:qFormat/>
    <w:uiPriority w:val="0"/>
    <w:rPr>
      <w:rFonts w:ascii="宋体" w:hAnsi="Courier New"/>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next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rFonts w:ascii="Times New Roman" w:hAnsi="Times New Roman" w:eastAsia="宋体" w:cs="Times New Roman"/>
      <w:sz w:val="18"/>
      <w:szCs w:val="18"/>
    </w:rPr>
  </w:style>
  <w:style w:type="character" w:customStyle="1" w:styleId="11">
    <w:name w:val="页脚 字符"/>
    <w:basedOn w:val="9"/>
    <w:link w:val="6"/>
    <w:qFormat/>
    <w:uiPriority w:val="99"/>
    <w:rPr>
      <w:rFonts w:ascii="Times New Roman" w:hAnsi="Times New Roman" w:eastAsia="宋体" w:cs="Times New Roman"/>
      <w:sz w:val="18"/>
      <w:szCs w:val="18"/>
    </w:rPr>
  </w:style>
  <w:style w:type="character" w:customStyle="1" w:styleId="12">
    <w:name w:val="批注框文本 字符"/>
    <w:basedOn w:val="9"/>
    <w:link w:val="5"/>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4573</Words>
  <Characters>4874</Characters>
  <Lines>38</Lines>
  <Paragraphs>10</Paragraphs>
  <TotalTime>6</TotalTime>
  <ScaleCrop>false</ScaleCrop>
  <LinksUpToDate>false</LinksUpToDate>
  <CharactersWithSpaces>5116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2023-03-14T03:21:13Z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1E32F69DC8654CDCBCB9A72F2ABB30AF</vt:lpwstr>
  </property>
</Properties>
</file>