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0084-2023-QEO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成都雅和盛环保科技有限公司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rPr>
          <w:rFonts w:hint="eastAsia"/>
          <w:sz w:val="32"/>
          <w:szCs w:val="32"/>
        </w:rPr>
        <w:fldChar w:fldCharType="end"/>
      </w:r>
    </w:p>
    <w:p>
      <w:pPr>
        <w:pStyle w:val="12"/>
      </w:pPr>
    </w:p>
    <w:p>
      <w:pPr>
        <w:pStyle w:val="12"/>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成都雅和盛环保科技有限公司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四川省成都市武侯区科华北路65号世外桃源广场26楼623号</w:t>
            </w:r>
            <w:bookmarkEnd w:id="6"/>
          </w:p>
        </w:tc>
        <w:tc>
          <w:tcPr>
            <w:tcW w:w="1242" w:type="dxa"/>
            <w:vMerge w:val="restart"/>
            <w:vAlign w:val="center"/>
          </w:tcPr>
          <w:p>
            <w:r>
              <w:rPr>
                <w:rFonts w:hint="eastAsia"/>
              </w:rPr>
              <w:t>邮编</w:t>
            </w:r>
          </w:p>
        </w:tc>
        <w:tc>
          <w:tcPr>
            <w:tcW w:w="1771" w:type="dxa"/>
          </w:tcPr>
          <w:p>
            <w:bookmarkStart w:id="7" w:name="注册邮编"/>
            <w:r>
              <w:t>610041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成都市双流区西航港街道黄河北路38号</w:t>
            </w:r>
            <w:bookmarkEnd w:id="8"/>
          </w:p>
        </w:tc>
        <w:tc>
          <w:tcPr>
            <w:tcW w:w="1242" w:type="dxa"/>
            <w:vMerge w:val="continue"/>
            <w:vAlign w:val="center"/>
          </w:tcPr>
          <w:p/>
        </w:tc>
        <w:tc>
          <w:tcPr>
            <w:tcW w:w="1771" w:type="dxa"/>
          </w:tcPr>
          <w:p>
            <w:bookmarkStart w:id="9" w:name="办公邮编"/>
            <w:r>
              <w:t>610200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张文科</w:t>
            </w:r>
            <w:bookmarkEnd w:id="10"/>
          </w:p>
        </w:tc>
        <w:tc>
          <w:tcPr>
            <w:tcW w:w="1313" w:type="dxa"/>
            <w:vAlign w:val="center"/>
          </w:tcPr>
          <w:p>
            <w:r>
              <w:rPr>
                <w:rFonts w:hint="eastAsia"/>
              </w:rPr>
              <w:t>电话.</w:t>
            </w:r>
          </w:p>
        </w:tc>
        <w:tc>
          <w:tcPr>
            <w:tcW w:w="2180" w:type="dxa"/>
            <w:vAlign w:val="center"/>
          </w:tcPr>
          <w:p>
            <w:bookmarkStart w:id="11" w:name="联系人电话"/>
            <w:r>
              <w:t>18180808585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王晓琼</w:t>
            </w:r>
            <w:bookmarkEnd w:id="13"/>
          </w:p>
        </w:tc>
        <w:tc>
          <w:tcPr>
            <w:tcW w:w="1313" w:type="dxa"/>
            <w:vAlign w:val="center"/>
          </w:tcPr>
          <w:p>
            <w:r>
              <w:rPr>
                <w:rFonts w:hint="eastAsia"/>
              </w:rPr>
              <w:t>管理者代表</w:t>
            </w:r>
          </w:p>
        </w:tc>
        <w:tc>
          <w:tcPr>
            <w:tcW w:w="2180" w:type="dxa"/>
          </w:tcPr>
          <w:p>
            <w:bookmarkStart w:id="14" w:name="管理者代表"/>
            <w:r>
              <w:t>张文科</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rPr>
              <w:t>合同签订</w:t>
            </w:r>
            <w:r>
              <w:t>—</w:t>
            </w:r>
            <w:r>
              <w:rPr>
                <w:rFonts w:hint="eastAsia"/>
              </w:rPr>
              <w:t>制定服务方案---实施保洁服务---服务质量检查---客户验收</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2023年03月16日 上午至2023年03月16日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pPr>
            <w:r>
              <w:rPr>
                <w:rFonts w:hint="eastAsia"/>
              </w:rPr>
              <w:t>审核地址（含远程）</w:t>
            </w:r>
          </w:p>
        </w:tc>
        <w:tc>
          <w:tcPr>
            <w:tcW w:w="7831" w:type="dxa"/>
            <w:gridSpan w:val="3"/>
            <w:tcMar>
              <w:left w:w="113" w:type="dxa"/>
            </w:tcMar>
          </w:tcPr>
          <w:p>
            <w:pPr>
              <w:rPr>
                <w:rFonts w:ascii="宋体"/>
                <w:b/>
                <w:color w:val="0000FF"/>
                <w:szCs w:val="21"/>
              </w:rPr>
            </w:pPr>
            <w:r>
              <w:t>成都市双流区西航港街道黄河北路38号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Q：保洁服务</w:t>
            </w:r>
          </w:p>
          <w:p>
            <w:r>
              <w:t>E：保洁服务所涉及场所的相关环境管理活动</w:t>
            </w:r>
          </w:p>
          <w:p>
            <w:r>
              <w:t>O：保洁服务所涉及场所的相关职业健康安全管理活动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Q：35.16.01</w:t>
            </w:r>
          </w:p>
          <w:p>
            <w:r>
              <w:t>E：35.16.01</w:t>
            </w:r>
          </w:p>
          <w:p>
            <w:r>
              <w:t>O：35.16.01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r>
              <w:rPr>
                <w:rFonts w:hint="eastAsia"/>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default" w:eastAsia="宋体"/>
                <w:lang w:val="en-US" w:eastAsia="zh-CN"/>
              </w:rPr>
            </w:pPr>
            <w:r>
              <w:rPr>
                <w:rFonts w:hint="eastAsia"/>
                <w:lang w:val="en-US" w:eastAsia="zh-CN"/>
              </w:rPr>
              <w:t>2022年9月7日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Merge w:val="restart"/>
          </w:tcPr>
          <w:p>
            <w:pPr>
              <w:rPr>
                <w:rFonts w:hint="eastAsia" w:eastAsia="宋体"/>
                <w:lang w:val="en-US" w:eastAsia="zh-CN"/>
              </w:rPr>
            </w:pPr>
            <w:r>
              <w:rPr>
                <w:sz w:val="21"/>
                <w:szCs w:val="21"/>
              </w:rPr>
              <w:t>成都雅和盛环保科技有限公司</w:t>
            </w:r>
            <w:r>
              <w:rPr>
                <w:rFonts w:hint="eastAsia"/>
                <w:sz w:val="21"/>
                <w:szCs w:val="21"/>
                <w:lang w:val="en-US" w:eastAsia="zh-CN"/>
              </w:rPr>
              <w:t>/</w:t>
            </w:r>
            <w:r>
              <w:rPr>
                <w:rFonts w:asciiTheme="minorEastAsia" w:hAnsiTheme="minorEastAsia" w:eastAsiaTheme="minorEastAsia"/>
                <w:sz w:val="20"/>
              </w:rPr>
              <w:t>四川省成都市武侯区科华北路65号世外桃源广场26楼623号</w:t>
            </w:r>
          </w:p>
        </w:tc>
        <w:tc>
          <w:tcPr>
            <w:tcW w:w="2267" w:type="dxa"/>
          </w:tcPr>
          <w:p>
            <w:pPr>
              <w:rPr>
                <w:lang w:val="de-DE" w:eastAsia="ja-JP"/>
              </w:rPr>
            </w:pPr>
            <w:r>
              <w:rPr>
                <w:rFonts w:asciiTheme="minorEastAsia" w:hAnsiTheme="minorEastAsia" w:eastAsiaTheme="minorEastAsia"/>
                <w:sz w:val="20"/>
              </w:rPr>
              <w:t>成都市双流区西航港街道黄河北路38号</w:t>
            </w:r>
          </w:p>
        </w:tc>
        <w:tc>
          <w:tcPr>
            <w:tcW w:w="571" w:type="dxa"/>
            <w:vAlign w:val="center"/>
          </w:tcPr>
          <w:p>
            <w:pPr>
              <w:rPr>
                <w:rFonts w:hint="default" w:eastAsia="宋体"/>
                <w:lang w:val="en-US" w:eastAsia="zh-CN"/>
              </w:rPr>
            </w:pPr>
            <w:r>
              <w:rPr>
                <w:rFonts w:hint="eastAsia"/>
                <w:lang w:val="en-US" w:eastAsia="zh-CN"/>
              </w:rPr>
              <w:t>23</w:t>
            </w:r>
          </w:p>
        </w:tc>
        <w:tc>
          <w:tcPr>
            <w:tcW w:w="2803" w:type="dxa"/>
            <w:vMerge w:val="restart"/>
            <w:vAlign w:val="center"/>
          </w:tcPr>
          <w:p>
            <w:pPr>
              <w:spacing w:line="440" w:lineRule="exact"/>
              <w:ind w:firstLine="420" w:firstLineChars="200"/>
              <w:rPr>
                <w:rFonts w:hint="eastAsia"/>
                <w:color w:val="000000"/>
              </w:rPr>
            </w:pPr>
            <w:r>
              <w:rPr>
                <w:rFonts w:hint="eastAsia"/>
                <w:color w:val="000000"/>
              </w:rPr>
              <w:t>Q：保洁服务</w:t>
            </w:r>
          </w:p>
          <w:p>
            <w:pPr>
              <w:spacing w:line="440" w:lineRule="exact"/>
              <w:ind w:firstLine="420" w:firstLineChars="200"/>
              <w:rPr>
                <w:rFonts w:hint="eastAsia"/>
                <w:color w:val="000000"/>
              </w:rPr>
            </w:pPr>
            <w:r>
              <w:rPr>
                <w:rFonts w:hint="eastAsia"/>
                <w:color w:val="000000"/>
              </w:rPr>
              <w:t>E：保洁服务所涉及场所的相关环境管理活动</w:t>
            </w:r>
          </w:p>
          <w:p>
            <w:pPr>
              <w:rPr>
                <w:lang w:eastAsia="ja-JP"/>
              </w:rPr>
            </w:pPr>
            <w:r>
              <w:rPr>
                <w:rFonts w:hint="eastAsia"/>
                <w:color w:val="000000"/>
              </w:rPr>
              <w:t>O：保洁服务所涉及场所的相关职业健康安全管理活动</w:t>
            </w:r>
          </w:p>
        </w:tc>
        <w:tc>
          <w:tcPr>
            <w:tcW w:w="669" w:type="dxa"/>
            <w:vMerge w:val="restart"/>
            <w:vAlign w:val="center"/>
          </w:tcPr>
          <w:p>
            <w:pPr>
              <w:pStyle w:val="21"/>
            </w:pPr>
            <w:r>
              <w:rPr>
                <w:rFonts w:hint="eastAsia"/>
              </w:rPr>
              <w:t xml:space="preserve">GB/T19001-2016 GB/T24001-2016 </w:t>
            </w:r>
          </w:p>
          <w:p>
            <w:pPr>
              <w:pStyle w:val="21"/>
              <w:rPr>
                <w:lang w:eastAsia="ja-JP"/>
              </w:rPr>
            </w:pPr>
            <w:r>
              <w:rPr>
                <w:rFonts w:hint="eastAsia"/>
              </w:rPr>
              <w:t>GB/T 45001-2020</w:t>
            </w:r>
          </w:p>
        </w:tc>
        <w:tc>
          <w:tcPr>
            <w:tcW w:w="668" w:type="dxa"/>
            <w:vMerge w:val="restart"/>
            <w:shd w:val="clear" w:color="auto" w:fill="FFFFFF"/>
            <w:vAlign w:val="top"/>
          </w:tcPr>
          <w:p>
            <w:r>
              <w:rPr>
                <w:rFonts w:ascii="Arial" w:hAnsi="Arial" w:eastAsia="黑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Merge w:val="continue"/>
            <w:tcBorders/>
            <w:vAlign w:val="center"/>
          </w:tcPr>
          <w:p>
            <w:pPr>
              <w:rPr>
                <w:lang w:eastAsia="ja-JP"/>
              </w:rPr>
            </w:pPr>
          </w:p>
        </w:tc>
        <w:tc>
          <w:tcPr>
            <w:tcW w:w="2267" w:type="dxa"/>
            <w:vAlign w:val="center"/>
          </w:tcPr>
          <w:p>
            <w:pPr>
              <w:rPr>
                <w:lang w:eastAsia="ja-JP"/>
              </w:rPr>
            </w:pPr>
            <w:r>
              <w:rPr>
                <w:rFonts w:hint="eastAsia" w:ascii="宋体" w:hAnsi="宋体"/>
                <w:color w:val="000000"/>
              </w:rPr>
              <w:t>成都市武侯区聚龙路1号</w:t>
            </w:r>
          </w:p>
        </w:tc>
        <w:tc>
          <w:tcPr>
            <w:tcW w:w="571" w:type="dxa"/>
            <w:vAlign w:val="center"/>
          </w:tcPr>
          <w:p>
            <w:pPr>
              <w:rPr>
                <w:rFonts w:hint="eastAsia" w:eastAsia="宋体"/>
                <w:lang w:val="en-US" w:eastAsia="zh-CN"/>
              </w:rPr>
            </w:pPr>
            <w:r>
              <w:rPr>
                <w:rFonts w:hint="eastAsia"/>
                <w:lang w:val="en-US" w:eastAsia="zh-CN"/>
              </w:rPr>
              <w:t>5</w:t>
            </w:r>
          </w:p>
        </w:tc>
        <w:tc>
          <w:tcPr>
            <w:tcW w:w="2803" w:type="dxa"/>
            <w:vMerge w:val="continue"/>
            <w:tcBorders/>
            <w:vAlign w:val="center"/>
          </w:tcPr>
          <w:p>
            <w:pPr>
              <w:rPr>
                <w:lang w:eastAsia="ja-JP"/>
              </w:rPr>
            </w:pPr>
          </w:p>
        </w:tc>
        <w:tc>
          <w:tcPr>
            <w:tcW w:w="669" w:type="dxa"/>
            <w:vMerge w:val="continue"/>
            <w:tcBorders/>
            <w:vAlign w:val="center"/>
          </w:tcPr>
          <w:p>
            <w:pPr>
              <w:rPr>
                <w:lang w:eastAsia="ja-JP"/>
              </w:rPr>
            </w:pPr>
          </w:p>
        </w:tc>
        <w:tc>
          <w:tcPr>
            <w:tcW w:w="668" w:type="dxa"/>
            <w:vMerge w:val="continue"/>
            <w:tcBorders/>
            <w:shd w:val="clear" w:color="auto" w:fill="FFFFFF"/>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组长</w:t>
            </w:r>
          </w:p>
        </w:tc>
        <w:tc>
          <w:tcPr>
            <w:tcW w:w="711" w:type="dxa"/>
            <w:vAlign w:val="center"/>
          </w:tcPr>
          <w:p>
            <w:r>
              <w:t>男</w:t>
            </w:r>
          </w:p>
        </w:tc>
        <w:tc>
          <w:tcPr>
            <w:tcW w:w="3870" w:type="dxa"/>
            <w:vAlign w:val="center"/>
          </w:tcPr>
          <w:p>
            <w:r>
              <w:t>2022-N1QMS-4093566</w:t>
            </w:r>
          </w:p>
          <w:p>
            <w:r>
              <w:t>2021-N1EMS-3093566</w:t>
            </w:r>
          </w:p>
          <w:p>
            <w:r>
              <w:t>2022-N1OHSMS-3093566</w:t>
            </w:r>
          </w:p>
        </w:tc>
        <w:tc>
          <w:tcPr>
            <w:tcW w:w="2179" w:type="dxa"/>
            <w:vAlign w:val="center"/>
          </w:tcPr>
          <w:p>
            <w:r>
              <w:t>Q:35.16.01</w:t>
            </w:r>
          </w:p>
          <w:p>
            <w:r>
              <w:t>E:35.16.01</w:t>
            </w:r>
          </w:p>
          <w:p>
            <w:r>
              <w:t>O:35.16.01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余家龙</w:t>
            </w:r>
          </w:p>
        </w:tc>
        <w:tc>
          <w:tcPr>
            <w:tcW w:w="1089" w:type="dxa"/>
            <w:vAlign w:val="center"/>
          </w:tcPr>
          <w:p>
            <w:r>
              <w:t>组员</w:t>
            </w:r>
          </w:p>
        </w:tc>
        <w:tc>
          <w:tcPr>
            <w:tcW w:w="711" w:type="dxa"/>
            <w:vAlign w:val="center"/>
          </w:tcPr>
          <w:p>
            <w:r>
              <w:t>男</w:t>
            </w:r>
          </w:p>
        </w:tc>
        <w:tc>
          <w:tcPr>
            <w:tcW w:w="3870" w:type="dxa"/>
            <w:vAlign w:val="center"/>
          </w:tcPr>
          <w:p>
            <w:r>
              <w:t>2020-N1QMS-1262293</w:t>
            </w:r>
          </w:p>
          <w:p>
            <w:r>
              <w:t>2020-N1EMS-1262293</w:t>
            </w:r>
          </w:p>
          <w:p>
            <w:r>
              <w:t>2021-N1OHSMS-1262293</w:t>
            </w:r>
          </w:p>
        </w:tc>
        <w:tc>
          <w:tcPr>
            <w:tcW w:w="2179" w:type="dxa"/>
            <w:vAlign w:val="center"/>
          </w:tcPr>
          <w:p>
            <w:r>
              <w:t>O:35.16.01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宋明珠</w:t>
            </w:r>
          </w:p>
        </w:tc>
        <w:tc>
          <w:tcPr>
            <w:tcW w:w="1089" w:type="dxa"/>
            <w:vAlign w:val="center"/>
          </w:tcPr>
          <w:p>
            <w:r>
              <w:t>组员</w:t>
            </w:r>
          </w:p>
        </w:tc>
        <w:tc>
          <w:tcPr>
            <w:tcW w:w="711" w:type="dxa"/>
            <w:vAlign w:val="center"/>
          </w:tcPr>
          <w:p>
            <w:r>
              <w:t>男</w:t>
            </w:r>
          </w:p>
        </w:tc>
        <w:tc>
          <w:tcPr>
            <w:tcW w:w="3870" w:type="dxa"/>
            <w:vAlign w:val="center"/>
          </w:tcPr>
          <w:p>
            <w:r>
              <w:t>2020-N1QMS-1247783</w:t>
            </w:r>
          </w:p>
          <w:p>
            <w:r>
              <w:t>2022-N1EMS-2247783</w:t>
            </w:r>
          </w:p>
          <w:p>
            <w:r>
              <w:t>2021-N1OHSMS-1247783</w:t>
            </w:r>
          </w:p>
        </w:tc>
        <w:tc>
          <w:tcPr>
            <w:tcW w:w="2179" w:type="dxa"/>
            <w:vAlign w:val="center"/>
          </w:tcPr>
          <w:p>
            <w:r>
              <w:t>O:35.16.01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陈伟</w:t>
            </w:r>
          </w:p>
        </w:tc>
        <w:tc>
          <w:tcPr>
            <w:tcW w:w="1089" w:type="dxa"/>
            <w:vAlign w:val="center"/>
          </w:tcPr>
          <w:p>
            <w:r>
              <w:t>组员</w:t>
            </w:r>
          </w:p>
        </w:tc>
        <w:tc>
          <w:tcPr>
            <w:tcW w:w="711" w:type="dxa"/>
            <w:vAlign w:val="center"/>
          </w:tcPr>
          <w:p>
            <w:r>
              <w:t>男</w:t>
            </w:r>
          </w:p>
        </w:tc>
        <w:tc>
          <w:tcPr>
            <w:tcW w:w="3870" w:type="dxa"/>
            <w:vAlign w:val="center"/>
          </w:tcPr>
          <w:p>
            <w:r>
              <w:t>2020-N1QMS-1265256</w:t>
            </w:r>
          </w:p>
          <w:p>
            <w:r>
              <w:t>2021-N1EMS-1265256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870" w:type="dxa"/>
            <w:vAlign w:val="center"/>
          </w:tcPr>
          <w:p>
            <w:r>
              <w:t>2021-N1QMS-3207381</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rPr>
        <w:sym w:font="Wingdings 2" w:char="0052"/>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保洁服务所涉及场所的相关环境管理活动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保洁服务所涉及场所的相关职业健康安全管理活动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val="en-US" w:eastAsia="zh-CN"/>
              </w:rPr>
            </w:pPr>
            <w:r>
              <w:rPr>
                <w:rFonts w:hint="eastAsia"/>
                <w:lang w:val="en-US" w:eastAsia="zh-CN"/>
              </w:rPr>
              <w:t>文平</w:t>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2023年3月17日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法律法规□技术</w:t>
                  </w:r>
                  <w:r>
                    <w:rPr>
                      <w:rFonts w:hint="eastAsia"/>
                    </w:rPr>
                    <w:sym w:font="Wingdings 2" w:char="0052"/>
                  </w:r>
                  <w:r>
                    <w:rPr>
                      <w:rFonts w:hint="eastAsia"/>
                    </w:rPr>
                    <w:t>竞争</w:t>
                  </w:r>
                  <w:r>
                    <w:rPr>
                      <w:rFonts w:hint="eastAsia"/>
                    </w:rPr>
                    <w:sym w:font="Wingdings 2" w:char="0052"/>
                  </w:r>
                  <w:r>
                    <w:rPr>
                      <w:rFonts w:hint="eastAsia"/>
                    </w:rPr>
                    <w:t>市场□文化□社会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文化□知识</w:t>
                  </w:r>
                  <w:r>
                    <w:rPr>
                      <w:rFonts w:hint="eastAsia"/>
                    </w:rPr>
                    <w:sym w:font="Wingdings 2" w:char="0052"/>
                  </w:r>
                  <w:r>
                    <w:rPr>
                      <w:rFonts w:hint="eastAsia"/>
                    </w:rPr>
                    <w:t>绩效□工艺□设备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人员能力□检测水平</w:t>
            </w:r>
            <w:r>
              <w:rPr>
                <w:rFonts w:hint="eastAsia"/>
              </w:rPr>
              <w:sym w:font="Wingdings 2" w:char="0052"/>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r>
              <w:rPr>
                <w:rFonts w:hint="eastAsia"/>
                <w:color w:val="000000"/>
                <w:szCs w:val="18"/>
              </w:rPr>
              <w:t>优质服务　环境舒适  各方满意　持续发展</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p>
          <w:p>
            <w:pPr>
              <w:shd w:val="clear" w:color="auto" w:fill="C7DAF1" w:themeFill="text2" w:themeFillTint="32"/>
              <w:rPr>
                <w:rFonts w:hint="eastAsia" w:eastAsia="宋体"/>
                <w:lang w:val="en-US" w:eastAsia="zh-CN"/>
              </w:rPr>
            </w:pPr>
            <w:r>
              <w:rPr>
                <w:rFonts w:hint="eastAsia"/>
                <w:lang w:val="en-US"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szCs w:val="21"/>
                    </w:rPr>
                    <w:t>法律、法规内容的变化</w:t>
                  </w:r>
                </w:p>
              </w:tc>
              <w:tc>
                <w:tcPr>
                  <w:tcW w:w="3965" w:type="dxa"/>
                  <w:vAlign w:val="top"/>
                </w:tcPr>
                <w:p>
                  <w:pPr>
                    <w:spacing w:line="360" w:lineRule="auto"/>
                    <w:rPr>
                      <w:rFonts w:ascii="Times New Roman" w:hAnsi="Times New Roman" w:eastAsia="宋体" w:cs="Times New Roman"/>
                      <w:kern w:val="2"/>
                      <w:sz w:val="21"/>
                      <w:szCs w:val="24"/>
                      <w:lang w:val="en-US" w:eastAsia="zh-CN" w:bidi="ar-SA"/>
                    </w:rPr>
                  </w:pPr>
                  <w:r>
                    <w:rPr>
                      <w:rFonts w:hint="eastAsia" w:ascii="宋体" w:hAnsi="宋体" w:cs="宋体"/>
                      <w:szCs w:val="21"/>
                    </w:rPr>
                    <w:t>主要职能部门按照要求加强所在地法律法规政策的收集评价。</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szCs w:val="21"/>
                    </w:rPr>
                    <w:t>公司服务不及时，顾客埋怨投诉较多，导致客户流失风险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szCs w:val="21"/>
                    </w:rPr>
                    <w:t>市场部和保洁部要严格按照作业计划实施服务，提高客户满意度</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人员能力不满足生产技术的发展</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加大人员岗位能力培训</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采购成本增加，使公司的服务不具备竞争能力</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对供方进行评价评审后比选采购</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tabs>
                      <w:tab w:val="left" w:pos="540"/>
                    </w:tabs>
                    <w:spacing w:line="240" w:lineRule="exact"/>
                    <w:jc w:val="left"/>
                    <w:textAlignment w:val="center"/>
                    <w:rPr>
                      <w:rFonts w:hint="eastAsia" w:ascii="宋体" w:hAnsi="宋体" w:eastAsia="宋体" w:cs="Times New Roman"/>
                      <w:kern w:val="2"/>
                      <w:sz w:val="21"/>
                      <w:szCs w:val="24"/>
                      <w:lang w:val="en-US" w:eastAsia="zh-CN" w:bidi="ar-SA"/>
                    </w:rPr>
                  </w:pPr>
                  <w:r>
                    <w:rPr>
                      <w:rFonts w:hint="eastAsia" w:ascii="宋体" w:hAnsi="宋体" w:eastAsia="宋体" w:cs="Times New Roman"/>
                    </w:rPr>
                    <w:t>顾客满意率达85分以上</w:t>
                  </w:r>
                </w:p>
              </w:tc>
              <w:tc>
                <w:tcPr>
                  <w:tcW w:w="3136" w:type="dxa"/>
                  <w:shd w:val="clear" w:color="auto" w:fill="auto"/>
                  <w:vAlign w:val="center"/>
                </w:tcPr>
                <w:p>
                  <w:pPr>
                    <w:widowControl/>
                    <w:tabs>
                      <w:tab w:val="left" w:pos="540"/>
                    </w:tabs>
                    <w:spacing w:line="240" w:lineRule="exact"/>
                    <w:jc w:val="left"/>
                    <w:textAlignment w:val="center"/>
                    <w:rPr>
                      <w:rFonts w:hint="eastAsia" w:ascii="宋体" w:hAnsi="宋体" w:eastAsia="宋体" w:cs="Times New Roman"/>
                      <w:kern w:val="2"/>
                      <w:sz w:val="21"/>
                      <w:szCs w:val="24"/>
                      <w:lang w:val="en-GB" w:eastAsia="zh-CN" w:bidi="ar-SA"/>
                    </w:rPr>
                  </w:pPr>
                  <w:r>
                    <w:rPr>
                      <w:rFonts w:hint="eastAsia" w:ascii="宋体" w:hAnsi="宋体" w:eastAsia="宋体" w:cs="Times New Roman"/>
                    </w:rPr>
                    <w:t>满意度=客户打分总分数÷调查客户数量；</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客服部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tabs>
                      <w:tab w:val="left" w:pos="540"/>
                    </w:tabs>
                    <w:spacing w:line="240" w:lineRule="exact"/>
                    <w:jc w:val="left"/>
                    <w:textAlignment w:val="center"/>
                    <w:rPr>
                      <w:rFonts w:hint="eastAsia" w:ascii="宋体" w:hAnsi="宋体" w:eastAsia="宋体" w:cs="Times New Roman"/>
                      <w:kern w:val="2"/>
                      <w:sz w:val="21"/>
                      <w:szCs w:val="24"/>
                      <w:lang w:val="en-US" w:eastAsia="zh-CN" w:bidi="ar-SA"/>
                    </w:rPr>
                  </w:pPr>
                  <w:r>
                    <w:rPr>
                      <w:rFonts w:hint="eastAsia" w:ascii="宋体" w:hAnsi="宋体" w:eastAsia="宋体" w:cs="Times New Roman"/>
                    </w:rPr>
                    <w:t>顾客投诉处理及时率达100%</w:t>
                  </w:r>
                </w:p>
              </w:tc>
              <w:tc>
                <w:tcPr>
                  <w:tcW w:w="3136" w:type="dxa"/>
                  <w:shd w:val="clear" w:color="auto" w:fill="auto"/>
                  <w:vAlign w:val="center"/>
                </w:tcPr>
                <w:p>
                  <w:pPr>
                    <w:widowControl/>
                    <w:tabs>
                      <w:tab w:val="left" w:pos="540"/>
                    </w:tabs>
                    <w:spacing w:line="240" w:lineRule="exact"/>
                    <w:jc w:val="left"/>
                    <w:textAlignment w:val="center"/>
                    <w:rPr>
                      <w:rFonts w:hint="default" w:ascii="宋体" w:hAnsi="宋体" w:eastAsia="宋体" w:cs="Times New Roman"/>
                      <w:kern w:val="2"/>
                      <w:sz w:val="21"/>
                      <w:szCs w:val="24"/>
                      <w:lang w:val="en-US" w:eastAsia="zh-CN" w:bidi="ar-SA"/>
                    </w:rPr>
                  </w:pPr>
                  <w:r>
                    <w:rPr>
                      <w:rFonts w:hint="eastAsia" w:ascii="宋体" w:hAnsi="宋体" w:eastAsia="宋体" w:cs="Times New Roman"/>
                      <w:lang w:val="en-US" w:eastAsia="zh-CN"/>
                    </w:rPr>
                    <w:t>顾客投诉及时处理数÷</w:t>
                  </w:r>
                  <w:r>
                    <w:rPr>
                      <w:rFonts w:hint="eastAsia" w:ascii="宋体" w:hAnsi="宋体" w:eastAsia="宋体" w:cs="Times New Roman"/>
                    </w:rPr>
                    <w:t>顾客投诉</w:t>
                  </w:r>
                  <w:r>
                    <w:rPr>
                      <w:rFonts w:hint="eastAsia" w:ascii="宋体" w:hAnsi="宋体" w:eastAsia="宋体" w:cs="Times New Roman"/>
                      <w:lang w:val="en-US" w:eastAsia="zh-CN"/>
                    </w:rPr>
                    <w:t>处理</w:t>
                  </w:r>
                  <w:r>
                    <w:rPr>
                      <w:rFonts w:hint="eastAsia" w:ascii="宋体" w:hAnsi="宋体" w:eastAsia="宋体" w:cs="Times New Roman"/>
                    </w:rPr>
                    <w:t>数</w:t>
                  </w:r>
                  <w:r>
                    <w:rPr>
                      <w:rFonts w:hint="eastAsia" w:ascii="宋体" w:hAnsi="宋体" w:eastAsia="宋体" w:cs="Times New Roman"/>
                      <w:lang w:val="en-US" w:eastAsia="zh-CN"/>
                    </w:rPr>
                    <w:t>*100%</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项目部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110</w:t>
            </w:r>
            <w:r>
              <w:rPr>
                <w:rFonts w:hint="eastAsia"/>
              </w:rPr>
              <w:t>平方米；生产车间个；库房个；实验室个；</w:t>
            </w:r>
          </w:p>
          <w:p>
            <w:pPr>
              <w:shd w:val="clear" w:color="auto" w:fill="C7DAF1" w:themeFill="text2" w:themeFillTint="32"/>
              <w:rPr>
                <w:u w:val="single"/>
              </w:rPr>
            </w:pPr>
            <w:r>
              <w:rPr>
                <w:rFonts w:hint="eastAsia"/>
              </w:rPr>
              <w:t>主要生产设备有：</w:t>
            </w:r>
            <w:r>
              <w:rPr>
                <w:rFonts w:hint="eastAsia"/>
                <w:color w:val="000000"/>
                <w:szCs w:val="21"/>
              </w:rPr>
              <w:t>吸尘器、洗地机</w:t>
            </w:r>
            <w:r>
              <w:rPr>
                <w:rFonts w:hint="eastAsia"/>
                <w:u w:val="single"/>
              </w:rPr>
              <w:t>（列举2~4种）</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val="en-US" w:eastAsia="zh-CN"/>
              </w:rPr>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无</w:t>
            </w:r>
            <w:r>
              <w:rPr>
                <w:rFonts w:hint="eastAsia"/>
                <w:lang w:eastAsia="zh-CN"/>
              </w:rPr>
              <w:t>）</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sym w:font="Wingdings 2" w:char="0052"/>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sym w:font="Wingdings 2" w:char="0052"/>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保洁服务过程</w:t>
                  </w:r>
                </w:p>
              </w:tc>
              <w:tc>
                <w:tcPr>
                  <w:tcW w:w="3665" w:type="dxa"/>
                  <w:vAlign w:val="top"/>
                </w:tcPr>
                <w:p>
                  <w:pPr>
                    <w:shd w:val="clear" w:color="auto" w:fill="C7DAF1" w:themeFill="text2" w:themeFillTint="32"/>
                    <w:jc w:val="left"/>
                  </w:pPr>
                  <w:r>
                    <w:rPr>
                      <w:rFonts w:hint="eastAsia"/>
                    </w:rPr>
                    <w:t>关键过程：保洁服务过程</w:t>
                  </w:r>
                </w:p>
                <w:p>
                  <w:pPr>
                    <w:shd w:val="clear" w:color="auto" w:fill="C7DAF1" w:themeFill="text2"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包括服务方案制定、人员能力培训、服务过程监控、效果评价。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保洁服务过程</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sym w:font="Wingdings 2" w:char="0052"/>
            </w:r>
            <w:r>
              <w:rPr>
                <w:rFonts w:hint="eastAsia"/>
              </w:rPr>
              <w:t>存在不足，说明</w:t>
            </w:r>
            <w:r>
              <w:rPr>
                <w:rFonts w:hint="eastAsia"/>
                <w:lang w:eastAsia="zh-CN"/>
              </w:rPr>
              <w:t>：</w:t>
            </w:r>
            <w:r>
              <w:rPr>
                <w:rFonts w:hint="eastAsia"/>
                <w:lang w:val="en-US" w:eastAsia="zh-CN"/>
              </w:rPr>
              <w:t>未进行能力确认</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sym w:font="Wingdings 2" w:char="0052"/>
            </w:r>
            <w:r>
              <w:rPr>
                <w:rFonts w:hint="eastAsia"/>
              </w:rPr>
              <w:t>存在不足，说明</w:t>
            </w:r>
            <w:r>
              <w:rPr>
                <w:rFonts w:hint="eastAsia"/>
                <w:lang w:eastAsia="zh-CN"/>
              </w:rPr>
              <w:t>：</w:t>
            </w:r>
            <w:r>
              <w:rPr>
                <w:rFonts w:hint="eastAsia"/>
                <w:lang w:val="en-US" w:eastAsia="zh-CN"/>
              </w:rPr>
              <w:t>未进行能力确认</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sym w:font="Wingdings 2" w:char="0052"/>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sym w:font="Wingdings 2" w:char="0052"/>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sym w:font="Wingdings 2" w:char="0052"/>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2023年2月10日</w:t>
            </w:r>
            <w:r>
              <w:rPr>
                <w:rFonts w:hint="eastAsia"/>
              </w:rPr>
              <w:t>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2023年2月25日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sym w:font="Wingdings 2" w:char="0052"/>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49"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49"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49" w:type="dxa"/>
            <w:vAlign w:val="center"/>
          </w:tcPr>
          <w:p>
            <w:pPr>
              <w:shd w:val="clear" w:color="auto" w:fill="C7DAF1" w:themeFill="text2" w:themeFillTint="32"/>
              <w:rPr>
                <w:lang w:eastAsia="ja-JP"/>
              </w:rPr>
            </w:pPr>
            <w:r>
              <w:rPr>
                <w:rFonts w:hint="eastAsia"/>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49"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49"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49"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市场□文化□社会</w:t>
                  </w:r>
                  <w:r>
                    <w:rPr>
                      <w:rFonts w:hint="eastAsia"/>
                    </w:rPr>
                    <w:sym w:font="Wingdings 2" w:char="0052"/>
                  </w:r>
                  <w:r>
                    <w:rPr>
                      <w:rFonts w:hint="eastAsia"/>
                    </w:rPr>
                    <w:t>经济环境</w:t>
                  </w:r>
                </w:p>
                <w:p>
                  <w:pPr>
                    <w:shd w:val="clear" w:color="auto" w:fill="EBF1DE" w:themeFill="accent3" w:themeFillTint="32"/>
                  </w:pP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文化□知识</w:t>
                  </w:r>
                  <w:r>
                    <w:rPr>
                      <w:rFonts w:hint="eastAsia"/>
                    </w:rPr>
                    <w:sym w:font="Wingdings 2" w:char="0052"/>
                  </w:r>
                  <w:r>
                    <w:rPr>
                      <w:rFonts w:hint="eastAsia"/>
                    </w:rPr>
                    <w:t>绩效</w:t>
                  </w:r>
                  <w:r>
                    <w:rPr>
                      <w:rFonts w:hint="eastAsia"/>
                    </w:rPr>
                    <w:sym w:font="Wingdings 2" w:char="0052"/>
                  </w:r>
                  <w:r>
                    <w:rPr>
                      <w:rFonts w:hint="eastAsia"/>
                    </w:rPr>
                    <w:t>工艺□设备</w:t>
                  </w:r>
                  <w:r>
                    <w:rPr>
                      <w:rFonts w:hint="eastAsia"/>
                    </w:rPr>
                    <w:sym w:font="Wingdings 2" w:char="0052"/>
                  </w:r>
                  <w:r>
                    <w:rPr>
                      <w:rFonts w:hint="eastAsia"/>
                    </w:rPr>
                    <w:t>人员能力</w:t>
                  </w:r>
                </w:p>
                <w:p>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lang w:val="en-US" w:eastAsia="zh-CN"/>
              </w:rPr>
              <w:t>服务</w:t>
            </w:r>
            <w:r>
              <w:rPr>
                <w:rFonts w:hint="eastAsia"/>
              </w:rPr>
              <w:sym w:font="Wingdings 2" w:char="0052"/>
            </w:r>
            <w:r>
              <w:rPr>
                <w:rFonts w:hint="eastAsia"/>
              </w:rPr>
              <w:t>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r>
              <w:rPr>
                <w:rFonts w:hint="eastAsia"/>
                <w:color w:val="000000"/>
                <w:szCs w:val="18"/>
              </w:rPr>
              <w:t>优质服务　环境舒适  各方满意　持续发展</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p>
          <w:p>
            <w:pPr>
              <w:shd w:val="clear" w:color="auto" w:fill="EBF1DE" w:themeFill="accent3" w:themeFillTint="32"/>
              <w:rPr>
                <w:rFonts w:hint="eastAsia" w:eastAsia="宋体"/>
                <w:lang w:val="en-US" w:eastAsia="zh-CN"/>
              </w:rPr>
            </w:pPr>
            <w:r>
              <w:rPr>
                <w:rFonts w:hint="eastAsia"/>
                <w:lang w:val="en-US"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hd w:val="clear" w:color="auto" w:fill="EBF1DE" w:themeFill="accent3" w:themeFillTint="32"/>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潜在火灾</w:t>
                  </w:r>
                </w:p>
              </w:tc>
              <w:tc>
                <w:tcPr>
                  <w:tcW w:w="3965" w:type="dxa"/>
                  <w:vAlign w:val="top"/>
                </w:tcPr>
                <w:p>
                  <w:pPr>
                    <w:shd w:val="clear" w:color="auto" w:fill="EBF1DE" w:themeFill="accent3" w:themeFillTint="32"/>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通过管理方案和预案措施、应急演练进行管理</w:t>
                  </w:r>
                </w:p>
              </w:tc>
              <w:tc>
                <w:tcPr>
                  <w:tcW w:w="1717"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hd w:val="clear" w:color="auto" w:fill="EBF1DE" w:themeFill="accent3" w:themeFillTint="32"/>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固废（含危险固废）的排放</w:t>
                  </w:r>
                </w:p>
              </w:tc>
              <w:tc>
                <w:tcPr>
                  <w:tcW w:w="3965" w:type="dxa"/>
                  <w:vAlign w:val="top"/>
                </w:tcPr>
                <w:p>
                  <w:pPr>
                    <w:shd w:val="clear" w:color="auto" w:fill="EBF1DE" w:themeFill="accent3" w:themeFillTint="32"/>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采取分类收集、管理方案进行管理</w:t>
                  </w:r>
                </w:p>
              </w:tc>
              <w:tc>
                <w:tcPr>
                  <w:tcW w:w="1717"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hd w:val="clear" w:color="auto" w:fill="EBF1DE" w:themeFill="accent3" w:themeFillTint="32"/>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噪声排放</w:t>
                  </w:r>
                </w:p>
              </w:tc>
              <w:tc>
                <w:tcPr>
                  <w:tcW w:w="3965" w:type="dxa"/>
                  <w:vAlign w:val="top"/>
                </w:tcPr>
                <w:p>
                  <w:pPr>
                    <w:shd w:val="clear" w:color="auto" w:fill="EBF1DE" w:themeFill="accent3" w:themeFillTint="32"/>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采取管理方案进行管理</w:t>
                  </w:r>
                </w:p>
              </w:tc>
              <w:tc>
                <w:tcPr>
                  <w:tcW w:w="1717"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hd w:val="clear" w:color="auto" w:fill="EBF1DE" w:themeFill="accent3" w:themeFillTint="32"/>
                    <w:rPr>
                      <w:rFonts w:cs="Times New Roman" w:asciiTheme="minorEastAsia" w:hAnsiTheme="minorEastAsia" w:eastAsiaTheme="minorEastAsia"/>
                      <w:kern w:val="2"/>
                      <w:sz w:val="21"/>
                      <w:szCs w:val="21"/>
                      <w:highlight w:val="red"/>
                      <w:lang w:val="en-US" w:eastAsia="zh-CN" w:bidi="ar-SA"/>
                    </w:rPr>
                  </w:pPr>
                  <w:r>
                    <w:rPr>
                      <w:rFonts w:hint="eastAsia" w:ascii="宋体" w:hAnsi="宋体" w:cs="宋体"/>
                      <w:szCs w:val="21"/>
                    </w:rPr>
                    <w:t>粉尘排放</w:t>
                  </w:r>
                </w:p>
              </w:tc>
              <w:tc>
                <w:tcPr>
                  <w:tcW w:w="3965" w:type="dxa"/>
                  <w:vAlign w:val="top"/>
                </w:tcPr>
                <w:p>
                  <w:pPr>
                    <w:shd w:val="clear" w:color="auto" w:fill="EBF1DE" w:themeFill="accent3" w:themeFillTint="32"/>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采取管理方案进行管理</w:t>
                  </w:r>
                </w:p>
              </w:tc>
              <w:tc>
                <w:tcPr>
                  <w:tcW w:w="1717"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52"/>
            </w:r>
            <w:r>
              <w:rPr>
                <w:rFonts w:hint="eastAsia"/>
              </w:rPr>
              <w:t>资源消耗□废水排放□废气排放□粉尘排放□危废排放□噪声排放□危化品泄露□压力容器爆炸</w:t>
            </w:r>
            <w:r>
              <w:rPr>
                <w:rFonts w:hint="eastAsia"/>
              </w:rPr>
              <w:sym w:font="Wingdings 2" w:char="0052"/>
            </w:r>
            <w:r>
              <w:rPr>
                <w:rFonts w:hint="eastAsia"/>
              </w:rPr>
              <w:t>火灾</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pPr>
                  <w:r>
                    <w:rPr>
                      <w:rFonts w:hint="eastAsia" w:ascii="宋体" w:hAnsi="宋体" w:eastAsia="宋体" w:cs="Times New Roman"/>
                      <w:lang w:eastAsia="zh-CN"/>
                    </w:rPr>
                    <w:t>固废分类正确分类处理率100%</w:t>
                  </w:r>
                </w:p>
              </w:tc>
              <w:tc>
                <w:tcPr>
                  <w:tcW w:w="3136" w:type="dxa"/>
                  <w:shd w:val="clear" w:color="auto" w:fill="auto"/>
                  <w:vAlign w:val="center"/>
                </w:tcPr>
                <w:p>
                  <w:pPr>
                    <w:shd w:val="clear" w:color="auto" w:fill="EBF1DE" w:themeFill="accent3" w:themeFillTint="32"/>
                    <w:rPr>
                      <w:rFonts w:ascii="Times New Roman" w:hAnsi="Times New Roman" w:eastAsia="宋体" w:cs="Times New Roman"/>
                      <w:kern w:val="2"/>
                      <w:sz w:val="21"/>
                      <w:szCs w:val="24"/>
                      <w:lang w:val="en-GB" w:eastAsia="zh-CN" w:bidi="ar-SA"/>
                    </w:rPr>
                  </w:pPr>
                  <w:r>
                    <w:rPr>
                      <w:rFonts w:hint="eastAsia"/>
                    </w:rPr>
                    <w:t>采取分类收集、管理方案进行管理</w:t>
                  </w:r>
                </w:p>
              </w:tc>
              <w:tc>
                <w:tcPr>
                  <w:tcW w:w="1350" w:type="dxa"/>
                  <w:shd w:val="clear" w:color="auto" w:fill="auto"/>
                  <w:vAlign w:val="center"/>
                </w:tcPr>
                <w:p>
                  <w:pPr>
                    <w:shd w:val="clear" w:color="auto" w:fill="EBF1DE" w:themeFill="accent3" w:themeFillTint="32"/>
                    <w:rPr>
                      <w:rFonts w:ascii="Times New Roman" w:hAnsi="Times New Roman" w:eastAsia="宋体" w:cs="Times New Roman"/>
                      <w:kern w:val="2"/>
                      <w:sz w:val="21"/>
                      <w:szCs w:val="24"/>
                      <w:lang w:val="en-GB" w:eastAsia="zh-CN" w:bidi="ar-SA"/>
                    </w:rPr>
                  </w:pPr>
                  <w:r>
                    <w:rPr>
                      <w:rFonts w:hint="eastAsia"/>
                    </w:rPr>
                    <w:t>综合部</w:t>
                  </w:r>
                </w:p>
              </w:tc>
              <w:tc>
                <w:tcPr>
                  <w:tcW w:w="1774" w:type="dxa"/>
                  <w:shd w:val="clear" w:color="auto" w:fill="auto"/>
                  <w:vAlign w:val="center"/>
                </w:tcPr>
                <w:p>
                  <w:pPr>
                    <w:shd w:val="clear" w:color="auto" w:fill="EBF1DE" w:themeFill="accent3" w:themeFillTint="32"/>
                    <w:rPr>
                      <w:rFonts w:ascii="宋体" w:hAnsi="宋体" w:eastAsia="宋体" w:cs="Times New Roman"/>
                      <w:kern w:val="2"/>
                      <w:sz w:val="21"/>
                      <w:szCs w:val="24"/>
                      <w:lang w:val="en-GB" w:eastAsia="zh-CN" w:bidi="ar-SA"/>
                    </w:rPr>
                  </w:pPr>
                  <w:r>
                    <w:rPr>
                      <w:rFonts w:hint="eastAsia" w:ascii="宋体" w:hAnsi="宋体"/>
                    </w:rPr>
                    <w:t>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pPr>
                  <w:r>
                    <w:rPr>
                      <w:rFonts w:hint="eastAsia" w:ascii="宋体" w:hAnsi="宋体" w:eastAsia="宋体" w:cs="Times New Roman"/>
                      <w:lang w:eastAsia="zh-CN"/>
                    </w:rPr>
                    <w:t>火灾事故为0</w:t>
                  </w:r>
                </w:p>
              </w:tc>
              <w:tc>
                <w:tcPr>
                  <w:tcW w:w="3136" w:type="dxa"/>
                  <w:shd w:val="clear" w:color="auto" w:fill="auto"/>
                  <w:vAlign w:val="center"/>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通过管理方案和预案措施、应急演练进行管理</w:t>
                  </w:r>
                </w:p>
              </w:tc>
              <w:tc>
                <w:tcPr>
                  <w:tcW w:w="1350" w:type="dxa"/>
                  <w:shd w:val="clear" w:color="auto" w:fill="auto"/>
                  <w:vAlign w:val="center"/>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综合部</w:t>
                  </w:r>
                </w:p>
              </w:tc>
              <w:tc>
                <w:tcPr>
                  <w:tcW w:w="1774" w:type="dxa"/>
                  <w:shd w:val="clear" w:color="auto" w:fill="auto"/>
                  <w:vAlign w:val="center"/>
                </w:tcPr>
                <w:p>
                  <w:pPr>
                    <w:shd w:val="clear" w:color="auto" w:fill="EBF1DE" w:themeFill="accent3" w:themeFillTint="32"/>
                    <w:jc w:val="center"/>
                    <w:rPr>
                      <w:rFonts w:ascii="宋体" w:hAnsi="宋体" w:eastAsia="宋体" w:cs="Times New Roman"/>
                      <w:kern w:val="2"/>
                      <w:sz w:val="21"/>
                      <w:szCs w:val="24"/>
                      <w:lang w:val="en-US" w:eastAsia="zh-CN" w:bidi="ar-SA"/>
                    </w:rPr>
                  </w:pPr>
                  <w:r>
                    <w:rPr>
                      <w:rFonts w:hint="eastAsia" w:ascii="宋体" w:hAnsi="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110</w:t>
            </w:r>
            <w:r>
              <w:rPr>
                <w:rFonts w:hint="eastAsia"/>
              </w:rPr>
              <w:t>平方米；生产车间个；库房个；实验室个；</w:t>
            </w:r>
          </w:p>
          <w:p>
            <w:pPr>
              <w:shd w:val="clear" w:color="auto" w:fill="EBF1DE" w:themeFill="accent3" w:themeFillTint="32"/>
              <w:rPr>
                <w:u w:val="single"/>
              </w:rPr>
            </w:pPr>
            <w:r>
              <w:rPr>
                <w:rFonts w:hint="eastAsia"/>
              </w:rPr>
              <w:t>主要生产设备有：</w:t>
            </w:r>
            <w:r>
              <w:rPr>
                <w:rFonts w:hint="eastAsia" w:cs="宋体"/>
              </w:rPr>
              <w:t>吸尘器、洗地机</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A3"/>
            </w:r>
            <w:r>
              <w:rPr>
                <w:rFonts w:hint="eastAsia"/>
              </w:rPr>
              <w:t>危害告知</w:t>
            </w:r>
            <w:r>
              <w:rPr>
                <w:rFonts w:hint="eastAsia" w:ascii="Wingdings" w:hAnsi="Wingdings"/>
                <w:lang w:eastAsia="zh-CN"/>
              </w:rPr>
              <w:sym w:font="Wingdings 2" w:char="0052"/>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通过管理方案进行管理</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采取分类收集、管理方案进行管理</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通过管理方案进行管理</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通过管理方案和预案措施、应急演练进行管理</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sym w:font="Wingdings 2" w:char="0052"/>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2022年12月28日</w:t>
            </w:r>
            <w:r>
              <w:rPr>
                <w:rFonts w:hint="eastAsia"/>
              </w:rPr>
              <w:t>进行了</w:t>
            </w:r>
            <w:r>
              <w:rPr>
                <w:rFonts w:hint="eastAsia"/>
                <w:lang w:val="en-US" w:eastAsia="zh-CN"/>
              </w:rPr>
              <w:t>火灾</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rFonts w:hint="default" w:eastAsia="宋体"/>
                <w:lang w:val="en-US" w:eastAsia="zh-CN"/>
              </w:rPr>
            </w:pPr>
            <w:r>
              <w:rPr>
                <w:rFonts w:hint="eastAsia" w:ascii="Wingdings" w:hAnsi="Wingdings"/>
                <w:lang w:eastAsia="zh-CN"/>
              </w:rPr>
              <w:sym w:font="Wingdings 2" w:char="0052"/>
            </w:r>
            <w:r>
              <w:rPr>
                <w:rFonts w:hint="eastAsia"/>
              </w:rPr>
              <w:t>定期（每年）：</w:t>
            </w:r>
            <w:r>
              <w:rPr>
                <w:rFonts w:hint="eastAsia"/>
                <w:lang w:val="en-US" w:eastAsia="zh-CN"/>
              </w:rPr>
              <w:t>2022年12月21日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2023年2月10日</w:t>
            </w:r>
            <w:r>
              <w:rPr>
                <w:rFonts w:hint="eastAsia"/>
              </w:rPr>
              <w:t>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2023年2月25日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sym w:font="Wingdings 2" w:char="0052"/>
            </w:r>
            <w:r>
              <w:rPr>
                <w:rFonts w:hint="eastAsia"/>
              </w:rPr>
              <w:t>相关方投诉</w:t>
            </w:r>
            <w:r>
              <w:rPr>
                <w:rFonts w:hint="eastAsia" w:ascii="Wingdings" w:hAnsi="Wingdings"/>
                <w:lang w:eastAsia="zh-CN"/>
              </w:rPr>
              <w:sym w:font="Wingdings 2" w:char="0052"/>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top"/>
          </w:tcPr>
          <w:p>
            <w:pPr>
              <w:shd w:val="clear" w:color="auto" w:fill="EBF1DE" w:themeFill="accent3" w:themeFillTint="32"/>
              <w:rPr>
                <w:lang w:eastAsia="ja-JP"/>
              </w:rPr>
            </w:pPr>
            <w:r>
              <w:rPr>
                <w:rFonts w:hint="eastAsia"/>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top"/>
          </w:tcPr>
          <w:p>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w:t>
            </w:r>
          </w:p>
        </w:tc>
        <w:tc>
          <w:tcPr>
            <w:tcW w:w="779" w:type="dxa"/>
            <w:shd w:val="clear" w:color="auto" w:fill="EBF1DE" w:themeFill="accent3" w:themeFillTint="32"/>
            <w:vAlign w:val="top"/>
          </w:tcPr>
          <w:p>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w:t>
            </w:r>
          </w:p>
        </w:tc>
        <w:tc>
          <w:tcPr>
            <w:tcW w:w="779" w:type="dxa"/>
            <w:shd w:val="clear" w:color="auto" w:fill="EBF1DE" w:themeFill="accent3" w:themeFillTint="32"/>
            <w:vAlign w:val="top"/>
          </w:tcPr>
          <w:p>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top"/>
          </w:tcPr>
          <w:p>
            <w:pPr>
              <w:shd w:val="clear" w:color="auto" w:fill="EBF1DE" w:themeFill="accent3" w:themeFillTint="32"/>
              <w:rPr>
                <w:lang w:eastAsia="ja-JP"/>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top"/>
          </w:tcPr>
          <w:p>
            <w:pPr>
              <w:shd w:val="clear" w:color="auto" w:fill="EBF1DE" w:themeFill="accent3" w:themeFillTint="32"/>
              <w:rPr>
                <w:lang w:eastAsia="ja-JP"/>
              </w:rPr>
            </w:pPr>
            <w:r>
              <w:rPr>
                <w:rFonts w:hint="eastAsia"/>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top"/>
          </w:tcPr>
          <w:p>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w:t>
            </w:r>
          </w:p>
        </w:tc>
        <w:tc>
          <w:tcPr>
            <w:tcW w:w="779" w:type="dxa"/>
            <w:shd w:val="clear" w:color="auto" w:fill="EBF1DE" w:themeFill="accent3" w:themeFillTint="32"/>
            <w:vAlign w:val="top"/>
          </w:tcPr>
          <w:p>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w:t>
            </w:r>
          </w:p>
        </w:tc>
        <w:tc>
          <w:tcPr>
            <w:tcW w:w="779" w:type="dxa"/>
            <w:shd w:val="clear" w:color="auto" w:fill="EBF1DE" w:themeFill="accent3" w:themeFillTint="32"/>
            <w:vAlign w:val="top"/>
          </w:tcPr>
          <w:p>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top"/>
          </w:tcPr>
          <w:p>
            <w:pPr>
              <w:shd w:val="clear" w:color="auto" w:fill="EBF1DE" w:themeFill="accent3" w:themeFillTint="32"/>
              <w:rPr>
                <w:lang w:eastAsia="ja-JP"/>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lang w:val="en-US" w:eastAsia="zh-CN"/>
              </w:rPr>
              <w:t>OHS</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技术□竞争</w:t>
                  </w:r>
                  <w:r>
                    <w:rPr>
                      <w:rFonts w:hint="eastAsia"/>
                    </w:rPr>
                    <w:sym w:font="Wingdings 2" w:char="0052"/>
                  </w:r>
                  <w:r>
                    <w:rPr>
                      <w:rFonts w:hint="eastAsia"/>
                    </w:rPr>
                    <w:t>市场□文化□社会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文化□知识</w:t>
                  </w:r>
                  <w:r>
                    <w:rPr>
                      <w:rFonts w:hint="eastAsia"/>
                    </w:rPr>
                    <w:sym w:font="Wingdings 2" w:char="0052"/>
                  </w:r>
                  <w:r>
                    <w:rPr>
                      <w:rFonts w:hint="eastAsia"/>
                    </w:rPr>
                    <w:t>绩效□工艺□设备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r>
              <w:rPr>
                <w:rFonts w:hint="eastAsia"/>
                <w:color w:val="000000"/>
                <w:szCs w:val="18"/>
              </w:rPr>
              <w:t>优质服务　环境舒适  各方满意　持续发展</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综合部</w:t>
            </w:r>
          </w:p>
          <w:p>
            <w:pPr>
              <w:rPr>
                <w:rFonts w:hint="eastAsia" w:eastAsia="宋体"/>
                <w:lang w:val="en-US" w:eastAsia="zh-CN"/>
              </w:rPr>
            </w:pPr>
            <w:r>
              <w:rPr>
                <w:rFonts w:hint="eastAsia"/>
              </w:rPr>
              <w:t>安全的主管部门是——</w:t>
            </w:r>
            <w:r>
              <w:rPr>
                <w:rFonts w:hint="eastAsia"/>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val="en-US" w:eastAsia="zh-CN"/>
              </w:rPr>
            </w:pPr>
            <w:r>
              <w:rPr>
                <w:rFonts w:hint="eastAsia"/>
              </w:rPr>
              <w:t>员工代表是——</w:t>
            </w:r>
            <w:r>
              <w:rPr>
                <w:rFonts w:hint="eastAsia"/>
                <w:lang w:val="en-US" w:eastAsia="zh-CN"/>
              </w:rPr>
              <w:t>侯天忻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ascii="Times New Roman" w:hAnsi="Times New Roman" w:eastAsia="宋体" w:cs="Times New Roman"/>
                      <w:kern w:val="2"/>
                      <w:sz w:val="21"/>
                      <w:szCs w:val="24"/>
                      <w:lang w:val="en-US" w:eastAsia="zh-CN" w:bidi="ar-SA"/>
                    </w:rPr>
                  </w:pPr>
                  <w:r>
                    <w:rPr>
                      <w:rFonts w:hint="eastAsia"/>
                    </w:rPr>
                    <w:t>火灾</w:t>
                  </w:r>
                </w:p>
              </w:tc>
              <w:tc>
                <w:tcPr>
                  <w:tcW w:w="3965" w:type="dxa"/>
                  <w:vAlign w:val="top"/>
                </w:tcPr>
                <w:p>
                  <w:pPr>
                    <w:rPr>
                      <w:rFonts w:ascii="Times New Roman" w:hAnsi="Times New Roman" w:eastAsia="宋体" w:cs="Times New Roman"/>
                      <w:kern w:val="2"/>
                      <w:sz w:val="21"/>
                      <w:szCs w:val="24"/>
                      <w:lang w:val="en-US" w:eastAsia="zh-CN" w:bidi="ar-SA"/>
                    </w:rPr>
                  </w:pPr>
                  <w:r>
                    <w:rPr>
                      <w:rFonts w:hint="eastAsia"/>
                    </w:rPr>
                    <w:t>通过管理方案和预案措施、应急演练进行管理</w:t>
                  </w:r>
                </w:p>
              </w:tc>
              <w:tc>
                <w:tcPr>
                  <w:tcW w:w="1717" w:type="dxa"/>
                  <w:vAlign w:val="top"/>
                </w:tcPr>
                <w:p>
                  <w:pPr>
                    <w:rPr>
                      <w:rFonts w:ascii="Times New Roman" w:hAnsi="Times New Roman" w:eastAsia="宋体" w:cs="Times New Roman"/>
                      <w:kern w:val="2"/>
                      <w:sz w:val="21"/>
                      <w:szCs w:val="24"/>
                      <w:lang w:val="en-US" w:eastAsia="zh-CN" w:bidi="ar-S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ascii="Times New Roman" w:hAnsi="Times New Roman" w:eastAsia="宋体" w:cs="Times New Roman"/>
                      <w:kern w:val="2"/>
                      <w:sz w:val="21"/>
                      <w:szCs w:val="24"/>
                      <w:lang w:val="en-US" w:eastAsia="zh-CN" w:bidi="ar-SA"/>
                    </w:rPr>
                  </w:pPr>
                  <w:r>
                    <w:rPr>
                      <w:rFonts w:hint="eastAsia"/>
                    </w:rPr>
                    <w:t>意外伤害（触电、摔伤、交通事故等）</w:t>
                  </w:r>
                </w:p>
              </w:tc>
              <w:tc>
                <w:tcPr>
                  <w:tcW w:w="3965" w:type="dxa"/>
                  <w:vAlign w:val="top"/>
                </w:tcPr>
                <w:p>
                  <w:pPr>
                    <w:rPr>
                      <w:rFonts w:ascii="Times New Roman" w:hAnsi="Times New Roman" w:eastAsia="宋体" w:cs="Times New Roman"/>
                      <w:kern w:val="2"/>
                      <w:sz w:val="21"/>
                      <w:szCs w:val="24"/>
                      <w:lang w:val="en-US" w:eastAsia="zh-CN" w:bidi="ar-SA"/>
                    </w:rPr>
                  </w:pPr>
                  <w:r>
                    <w:rPr>
                      <w:rFonts w:hint="eastAsia"/>
                    </w:rPr>
                    <w:t>通过管理方案进行管理</w:t>
                  </w:r>
                </w:p>
              </w:tc>
              <w:tc>
                <w:tcPr>
                  <w:tcW w:w="1717" w:type="dxa"/>
                  <w:vAlign w:val="top"/>
                </w:tcPr>
                <w:p>
                  <w:pPr>
                    <w:rPr>
                      <w:rFonts w:ascii="Times New Roman" w:hAnsi="Times New Roman" w:eastAsia="宋体" w:cs="Times New Roman"/>
                      <w:kern w:val="2"/>
                      <w:sz w:val="21"/>
                      <w:szCs w:val="24"/>
                      <w:lang w:val="en-US" w:eastAsia="zh-CN" w:bidi="ar-S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ascii="Times New Roman" w:hAnsi="Times New Roman" w:eastAsia="宋体" w:cs="Times New Roman"/>
                      <w:kern w:val="2"/>
                      <w:sz w:val="21"/>
                      <w:szCs w:val="24"/>
                      <w:lang w:val="en-US" w:eastAsia="zh-CN" w:bidi="ar-SA"/>
                    </w:rPr>
                  </w:pPr>
                  <w:r>
                    <w:rPr>
                      <w:rFonts w:hint="eastAsia"/>
                    </w:rPr>
                    <w:t>中暑</w:t>
                  </w:r>
                </w:p>
              </w:tc>
              <w:tc>
                <w:tcPr>
                  <w:tcW w:w="3965" w:type="dxa"/>
                  <w:vAlign w:val="top"/>
                </w:tcPr>
                <w:p>
                  <w:pPr>
                    <w:rPr>
                      <w:rFonts w:ascii="Times New Roman" w:hAnsi="Times New Roman" w:eastAsia="宋体" w:cs="Times New Roman"/>
                      <w:kern w:val="2"/>
                      <w:sz w:val="21"/>
                      <w:szCs w:val="24"/>
                      <w:lang w:val="en-US" w:eastAsia="zh-CN" w:bidi="ar-SA"/>
                    </w:rPr>
                  </w:pPr>
                  <w:r>
                    <w:rPr>
                      <w:rFonts w:hint="eastAsia"/>
                    </w:rPr>
                    <w:t>通过管理方案进行管理</w:t>
                  </w:r>
                </w:p>
              </w:tc>
              <w:tc>
                <w:tcPr>
                  <w:tcW w:w="1717" w:type="dxa"/>
                  <w:vAlign w:val="top"/>
                </w:tcPr>
                <w:p>
                  <w:pPr>
                    <w:rPr>
                      <w:rFonts w:ascii="Times New Roman" w:hAnsi="Times New Roman" w:eastAsia="宋体" w:cs="Times New Roman"/>
                      <w:kern w:val="2"/>
                      <w:sz w:val="21"/>
                      <w:szCs w:val="24"/>
                      <w:lang w:val="en-US" w:eastAsia="zh-CN" w:bidi="ar-S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机械伤害</w:t>
            </w:r>
            <w:r>
              <w:rPr>
                <w:rFonts w:hint="eastAsia"/>
              </w:rPr>
              <w:sym w:font="Wingdings 2" w:char="0052"/>
            </w:r>
            <w:r>
              <w:rPr>
                <w:rFonts w:hint="eastAsia"/>
              </w:rPr>
              <w:t>触电□化学伤害□噪声□粉尘□危险作业□高低温□危化品泄露□压力容器爆炸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w:t>
            </w:r>
            <w:r>
              <w:rPr>
                <w:rFonts w:hint="eastAsia"/>
              </w:rPr>
              <w:sym w:font="Wingdings 2" w:char="0052"/>
            </w:r>
            <w:r>
              <w:rPr>
                <w:rFonts w:hint="eastAsia"/>
              </w:rPr>
              <w:t>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宋体" w:hAnsi="宋体" w:eastAsia="宋体" w:cs="Times New Roman"/>
                      <w:lang w:eastAsia="zh-CN"/>
                    </w:rPr>
                    <w:t>火灾事故为0</w:t>
                  </w:r>
                </w:p>
              </w:tc>
              <w:tc>
                <w:tcPr>
                  <w:tcW w:w="3136" w:type="dxa"/>
                  <w:shd w:val="clear" w:color="auto" w:fill="auto"/>
                  <w:vAlign w:val="center"/>
                </w:tcPr>
                <w:p>
                  <w:pPr>
                    <w:rPr>
                      <w:rFonts w:ascii="Times New Roman" w:hAnsi="Times New Roman" w:eastAsia="宋体" w:cs="Times New Roman"/>
                      <w:kern w:val="2"/>
                      <w:sz w:val="21"/>
                      <w:szCs w:val="24"/>
                      <w:lang w:val="en-GB" w:eastAsia="zh-CN" w:bidi="ar-SA"/>
                    </w:rPr>
                  </w:pPr>
                  <w:r>
                    <w:rPr>
                      <w:rFonts w:hint="eastAsia"/>
                    </w:rPr>
                    <w:t>通过管理方案和预案措施、应急演练进行管理</w:t>
                  </w:r>
                </w:p>
              </w:tc>
              <w:tc>
                <w:tcPr>
                  <w:tcW w:w="1350" w:type="dxa"/>
                  <w:shd w:val="clear" w:color="auto" w:fill="auto"/>
                  <w:vAlign w:val="center"/>
                </w:tcPr>
                <w:p>
                  <w:pPr>
                    <w:rPr>
                      <w:rFonts w:ascii="Times New Roman" w:hAnsi="Times New Roman" w:eastAsia="宋体" w:cs="Times New Roman"/>
                      <w:kern w:val="2"/>
                      <w:sz w:val="21"/>
                      <w:szCs w:val="24"/>
                      <w:lang w:val="en-GB" w:eastAsia="zh-CN" w:bidi="ar-SA"/>
                    </w:rPr>
                  </w:pPr>
                  <w:r>
                    <w:rPr>
                      <w:rFonts w:hint="eastAsia"/>
                    </w:rPr>
                    <w:t>各部门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宋体" w:hAnsi="宋体" w:eastAsia="宋体" w:cs="Times New Roman"/>
                      <w:lang w:eastAsia="zh-CN"/>
                    </w:rPr>
                    <w:t>意外伤害事故为0</w:t>
                  </w:r>
                </w:p>
              </w:tc>
              <w:tc>
                <w:tcPr>
                  <w:tcW w:w="3136" w:type="dxa"/>
                  <w:shd w:val="clear" w:color="auto" w:fill="auto"/>
                  <w:vAlign w:val="center"/>
                </w:tcPr>
                <w:p>
                  <w:pPr>
                    <w:rPr>
                      <w:rFonts w:ascii="Times New Roman" w:hAnsi="Times New Roman" w:eastAsia="宋体" w:cs="Times New Roman"/>
                      <w:kern w:val="2"/>
                      <w:sz w:val="21"/>
                      <w:szCs w:val="24"/>
                      <w:lang w:val="en-US" w:eastAsia="zh-CN" w:bidi="ar-SA"/>
                    </w:rPr>
                  </w:pPr>
                  <w:r>
                    <w:rPr>
                      <w:rFonts w:hint="eastAsia"/>
                    </w:rPr>
                    <w:t>通过管理方案和预案措施进行管理</w:t>
                  </w:r>
                </w:p>
              </w:tc>
              <w:tc>
                <w:tcPr>
                  <w:tcW w:w="1350" w:type="dxa"/>
                  <w:shd w:val="clear" w:color="auto" w:fill="auto"/>
                  <w:vAlign w:val="center"/>
                </w:tcPr>
                <w:p>
                  <w:pPr>
                    <w:rPr>
                      <w:rFonts w:ascii="Times New Roman" w:hAnsi="Times New Roman" w:eastAsia="宋体" w:cs="Times New Roman"/>
                      <w:kern w:val="2"/>
                      <w:sz w:val="21"/>
                      <w:szCs w:val="24"/>
                      <w:lang w:val="en-US" w:eastAsia="zh-CN" w:bidi="ar-SA"/>
                    </w:rPr>
                  </w:pPr>
                  <w:r>
                    <w:rPr>
                      <w:rFonts w:hint="eastAsia"/>
                    </w:rPr>
                    <w:t>各部门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宋体" w:hAnsi="宋体" w:eastAsia="宋体" w:cs="Times New Roman"/>
                    </w:rPr>
                    <w:t>触电事故为0</w:t>
                  </w:r>
                </w:p>
              </w:tc>
              <w:tc>
                <w:tcPr>
                  <w:tcW w:w="3136" w:type="dxa"/>
                  <w:shd w:val="clear" w:color="auto" w:fill="auto"/>
                  <w:vAlign w:val="center"/>
                </w:tcPr>
                <w:p>
                  <w:pPr>
                    <w:rPr>
                      <w:rFonts w:ascii="Times New Roman" w:hAnsi="Times New Roman" w:eastAsia="宋体" w:cs="Times New Roman"/>
                      <w:kern w:val="2"/>
                      <w:sz w:val="21"/>
                      <w:szCs w:val="24"/>
                      <w:lang w:val="en-US" w:eastAsia="zh-CN" w:bidi="ar-SA"/>
                    </w:rPr>
                  </w:pPr>
                  <w:r>
                    <w:rPr>
                      <w:rFonts w:hint="eastAsia"/>
                    </w:rPr>
                    <w:t>通过管理方案和预案措施进行管理</w:t>
                  </w:r>
                </w:p>
              </w:tc>
              <w:tc>
                <w:tcPr>
                  <w:tcW w:w="1350" w:type="dxa"/>
                  <w:shd w:val="clear" w:color="auto" w:fill="auto"/>
                  <w:vAlign w:val="center"/>
                </w:tcPr>
                <w:p>
                  <w:pPr>
                    <w:rPr>
                      <w:rFonts w:ascii="Times New Roman" w:hAnsi="Times New Roman" w:eastAsia="宋体" w:cs="Times New Roman"/>
                      <w:kern w:val="2"/>
                      <w:sz w:val="21"/>
                      <w:szCs w:val="24"/>
                      <w:lang w:val="en-US" w:eastAsia="zh-CN" w:bidi="ar-SA"/>
                    </w:rPr>
                  </w:pPr>
                  <w:r>
                    <w:rPr>
                      <w:rFonts w:hint="eastAsia"/>
                    </w:rPr>
                    <w:t>各部门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110</w:t>
            </w:r>
            <w:r>
              <w:rPr>
                <w:rFonts w:hint="eastAsia"/>
              </w:rPr>
              <w:t>平方米；生产车间个；库房个；实验室个；</w:t>
            </w:r>
          </w:p>
          <w:p>
            <w:pPr>
              <w:rPr>
                <w:u w:val="single"/>
              </w:rPr>
            </w:pPr>
            <w:r>
              <w:rPr>
                <w:rFonts w:hint="eastAsia"/>
              </w:rPr>
              <w:t>主要生产设备有：</w:t>
            </w:r>
            <w:r>
              <w:rPr>
                <w:rFonts w:hint="eastAsia" w:cs="宋体"/>
              </w:rPr>
              <w:t>吸尘器、洗地机</w:t>
            </w:r>
            <w:r>
              <w:rPr>
                <w:rFonts w:hint="eastAsia"/>
                <w:u w:val="single"/>
              </w:rPr>
              <w:t>（列举2~4种）</w:t>
            </w:r>
          </w:p>
          <w:p>
            <w:r>
              <w:rPr>
                <w:rFonts w:hint="eastAsia"/>
              </w:rPr>
              <w:t>主要安全装置有：</w:t>
            </w:r>
          </w:p>
          <w:p>
            <w:r>
              <w:rPr>
                <w:rFonts w:hint="eastAsia" w:ascii="Wingdings" w:hAnsi="Wingdings"/>
                <w:lang w:eastAsia="zh-CN"/>
              </w:rPr>
              <w:sym w:font="Wingdings 2" w:char="0052"/>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sym w:font="Wingdings 2" w:char="0052"/>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sym w:font="Wingdings 2" w:char="0052"/>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52"/>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触电</w:t>
                  </w:r>
                </w:p>
              </w:tc>
              <w:tc>
                <w:tcPr>
                  <w:tcW w:w="4725" w:type="dxa"/>
                </w:tcPr>
                <w:p>
                  <w:pPr>
                    <w:jc w:val="left"/>
                  </w:pPr>
                  <w:r>
                    <w:rPr>
                      <w:rFonts w:hint="eastAsia"/>
                    </w:rPr>
                    <w:t>□漏电保护□绝缘用具检测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w:t>
                  </w:r>
                  <w:r>
                    <w:rPr>
                      <w:rFonts w:hint="eastAsia"/>
                    </w:rPr>
                    <w:sym w:font="Wingdings 2" w:char="0052"/>
                  </w:r>
                  <w:r>
                    <w:rPr>
                      <w:rFonts w:hint="eastAsia"/>
                    </w:rPr>
                    <w:t>穿戴劳保用品（防尘面罩）</w:t>
                  </w:r>
                </w:p>
              </w:tc>
              <w:tc>
                <w:tcPr>
                  <w:tcW w:w="2205"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高低温</w:t>
                  </w:r>
                </w:p>
              </w:tc>
              <w:tc>
                <w:tcPr>
                  <w:tcW w:w="4725" w:type="dxa"/>
                </w:tcPr>
                <w:p>
                  <w:pPr>
                    <w:jc w:val="left"/>
                  </w:pPr>
                  <w:r>
                    <w:rPr>
                      <w:rFonts w:hint="eastAsia"/>
                    </w:rPr>
                    <w:t>□减少作业时间□空间隔离</w:t>
                  </w:r>
                  <w:r>
                    <w:rPr>
                      <w:rFonts w:hint="eastAsia"/>
                    </w:rPr>
                    <w:sym w:font="Wingdings 2" w:char="0052"/>
                  </w:r>
                  <w:r>
                    <w:rPr>
                      <w:rFonts w:hint="eastAsia"/>
                    </w:rPr>
                    <w:t>防暑降温用品</w:t>
                  </w:r>
                </w:p>
              </w:tc>
              <w:tc>
                <w:tcPr>
                  <w:tcW w:w="2205"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火灾</w:t>
                  </w:r>
                </w:p>
              </w:tc>
              <w:tc>
                <w:tcPr>
                  <w:tcW w:w="4725" w:type="dxa"/>
                  <w:vAlign w:val="top"/>
                </w:tcPr>
                <w:p>
                  <w:pPr>
                    <w:jc w:val="left"/>
                    <w:rPr>
                      <w:rFonts w:ascii="Times New Roman" w:hAnsi="Times New Roman" w:eastAsia="宋体" w:cs="Times New Roman"/>
                      <w:kern w:val="2"/>
                      <w:sz w:val="21"/>
                      <w:szCs w:val="24"/>
                      <w:lang w:val="en-US" w:eastAsia="zh-CN" w:bidi="ar-SA"/>
                    </w:rPr>
                  </w:pPr>
                  <w:r>
                    <w:rPr>
                      <w:rFonts w:hint="eastAsia"/>
                    </w:rPr>
                    <w:t>制定管理方案，应急预案并演练</w:t>
                  </w:r>
                </w:p>
              </w:tc>
              <w:tc>
                <w:tcPr>
                  <w:tcW w:w="2205" w:type="dxa"/>
                  <w:vAlign w:val="top"/>
                </w:tcPr>
                <w:p>
                  <w:pPr>
                    <w:jc w:val="left"/>
                    <w:rPr>
                      <w:rFonts w:ascii="Times New Roman" w:hAnsi="Times New Roman" w:eastAsia="宋体" w:cs="Times New Roman"/>
                      <w:kern w:val="2"/>
                      <w:sz w:val="21"/>
                      <w:szCs w:val="24"/>
                      <w:lang w:val="en-US" w:eastAsia="zh-CN" w:bidi="ar-S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sym w:font="Wingdings 2" w:char="0052"/>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2022年12月28日</w:t>
            </w:r>
            <w:r>
              <w:rPr>
                <w:rFonts w:hint="eastAsia"/>
              </w:rPr>
              <w:t>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default" w:eastAsia="宋体"/>
                <w:lang w:val="en-US" w:eastAsia="zh-CN"/>
              </w:rPr>
            </w:pPr>
            <w:r>
              <w:rPr>
                <w:rFonts w:hint="eastAsia" w:ascii="Wingdings" w:hAnsi="Wingdings"/>
                <w:lang w:eastAsia="zh-CN"/>
              </w:rPr>
              <w:sym w:font="Wingdings 2" w:char="0052"/>
            </w:r>
            <w:r>
              <w:rPr>
                <w:rFonts w:hint="eastAsia"/>
              </w:rPr>
              <w:t>定期（每年）：</w:t>
            </w:r>
            <w:r>
              <w:rPr>
                <w:rFonts w:hint="eastAsia"/>
                <w:lang w:val="en-US" w:eastAsia="zh-CN"/>
              </w:rPr>
              <w:t>2022年12月21日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2023年2月10日</w:t>
            </w:r>
            <w:r>
              <w:rPr>
                <w:rFonts w:hint="eastAsia"/>
              </w:rPr>
              <w:t>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2023年2月25日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sym w:font="Wingdings 2" w:char="0052"/>
            </w:r>
            <w:r>
              <w:rPr>
                <w:rFonts w:hint="eastAsia"/>
              </w:rPr>
              <w:t>未遂事件</w:t>
            </w:r>
            <w:r>
              <w:rPr>
                <w:rFonts w:hint="eastAsia" w:ascii="Wingdings" w:hAnsi="Wingdings"/>
                <w:lang w:eastAsia="zh-CN"/>
              </w:rPr>
              <w:sym w:font="Wingdings 2" w:char="0052"/>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sym w:font="Wingdings 2" w:char="0052"/>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sym w:font="Wingdings 2" w:char="0052"/>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rPr>
              <w:t>1</w:t>
            </w:r>
          </w:p>
        </w:tc>
        <w:tc>
          <w:tcPr>
            <w:tcW w:w="768" w:type="dxa"/>
            <w:shd w:val="clear" w:color="auto" w:fill="F2DCDC" w:themeFill="accent2" w:themeFillTint="32"/>
            <w:vAlign w:val="center"/>
          </w:tcPr>
          <w:p>
            <w:pPr>
              <w:rPr>
                <w:lang w:eastAsia="ja-JP"/>
              </w:rPr>
            </w:pPr>
            <w:r>
              <w:rPr>
                <w:rFonts w:hint="eastAsia"/>
              </w:rPr>
              <w:t>1</w:t>
            </w:r>
          </w:p>
        </w:tc>
        <w:tc>
          <w:tcPr>
            <w:tcW w:w="768" w:type="dxa"/>
            <w:shd w:val="clear" w:color="auto" w:fill="F2DCDC" w:themeFill="accent2" w:themeFillTint="32"/>
            <w:vAlign w:val="center"/>
          </w:tcPr>
          <w:p>
            <w:pPr>
              <w:rPr>
                <w:lang w:eastAsia="ja-JP"/>
              </w:rPr>
            </w:pPr>
            <w:r>
              <w:rPr>
                <w:rFonts w:hint="eastAsia"/>
              </w:rPr>
              <w:t>1</w:t>
            </w:r>
          </w:p>
        </w:tc>
        <w:tc>
          <w:tcPr>
            <w:tcW w:w="769" w:type="dxa"/>
            <w:shd w:val="clear" w:color="auto" w:fill="F2DCDC" w:themeFill="accent2" w:themeFillTint="32"/>
            <w:vAlign w:val="center"/>
          </w:tcPr>
          <w:p>
            <w:pPr>
              <w:rPr>
                <w:lang w:eastAsia="ja-JP"/>
              </w:rPr>
            </w:pPr>
            <w:r>
              <w:rPr>
                <w:rFonts w:hint="eastAsia"/>
              </w:rPr>
              <w:t>1</w:t>
            </w:r>
          </w:p>
        </w:tc>
        <w:tc>
          <w:tcPr>
            <w:tcW w:w="768" w:type="dxa"/>
            <w:shd w:val="clear" w:color="auto" w:fill="F2DCDC" w:themeFill="accent2" w:themeFillTint="32"/>
            <w:vAlign w:val="center"/>
          </w:tcPr>
          <w:p>
            <w:pPr>
              <w:rPr>
                <w:lang w:eastAsia="ja-JP"/>
              </w:rPr>
            </w:pPr>
            <w:r>
              <w:rPr>
                <w:rFonts w:hint="eastAsia"/>
              </w:rPr>
              <w:t>1</w:t>
            </w:r>
          </w:p>
        </w:tc>
        <w:tc>
          <w:tcPr>
            <w:tcW w:w="768" w:type="dxa"/>
            <w:shd w:val="clear" w:color="auto" w:fill="F2DCDC" w:themeFill="accent2" w:themeFillTint="32"/>
            <w:vAlign w:val="center"/>
          </w:tcPr>
          <w:p>
            <w:pPr>
              <w:rPr>
                <w:lang w:eastAsia="ja-JP"/>
              </w:rPr>
            </w:pPr>
            <w:r>
              <w:rPr>
                <w:rFonts w:hint="eastAsia"/>
              </w:rPr>
              <w:t>1</w:t>
            </w:r>
          </w:p>
        </w:tc>
        <w:tc>
          <w:tcPr>
            <w:tcW w:w="769" w:type="dxa"/>
            <w:shd w:val="clear" w:color="auto" w:fill="F2DCDC" w:themeFill="accent2" w:themeFillTint="32"/>
            <w:vAlign w:val="center"/>
          </w:tcPr>
          <w:p>
            <w:pPr>
              <w:rPr>
                <w:lang w:eastAsia="ja-JP"/>
              </w:rPr>
            </w:pPr>
            <w:r>
              <w:rPr>
                <w:rFonts w:hint="eastAsia"/>
              </w:rPr>
              <w:t>1</w:t>
            </w:r>
          </w:p>
        </w:tc>
        <w:tc>
          <w:tcPr>
            <w:tcW w:w="768" w:type="dxa"/>
            <w:shd w:val="clear" w:color="auto" w:fill="F2DCDC" w:themeFill="accent2" w:themeFillTint="32"/>
            <w:vAlign w:val="center"/>
          </w:tcPr>
          <w:p>
            <w:pPr>
              <w:rPr>
                <w:lang w:eastAsia="ja-JP"/>
              </w:rPr>
            </w:pPr>
            <w:r>
              <w:rPr>
                <w:rFonts w:hint="eastAsia"/>
              </w:rPr>
              <w:t>1</w:t>
            </w:r>
          </w:p>
        </w:tc>
        <w:tc>
          <w:tcPr>
            <w:tcW w:w="768" w:type="dxa"/>
            <w:shd w:val="clear" w:color="auto" w:fill="F2DCDC" w:themeFill="accent2" w:themeFillTint="32"/>
            <w:vAlign w:val="center"/>
          </w:tcPr>
          <w:p>
            <w:pPr>
              <w:rPr>
                <w:lang w:eastAsia="ja-JP"/>
              </w:rPr>
            </w:pPr>
            <w:r>
              <w:rPr>
                <w:rFonts w:hint="eastAsia"/>
              </w:rPr>
              <w:t>1</w:t>
            </w:r>
          </w:p>
        </w:tc>
        <w:tc>
          <w:tcPr>
            <w:tcW w:w="769" w:type="dxa"/>
            <w:shd w:val="clear" w:color="auto" w:fill="F2DCDC" w:themeFill="accent2" w:themeFillTint="32"/>
            <w:vAlign w:val="center"/>
          </w:tcPr>
          <w:p>
            <w:pPr>
              <w:rPr>
                <w:lang w:eastAsia="ja-JP"/>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rPr>
              <w:t>1</w:t>
            </w:r>
          </w:p>
        </w:tc>
        <w:tc>
          <w:tcPr>
            <w:tcW w:w="768" w:type="dxa"/>
            <w:shd w:val="clear" w:color="auto" w:fill="F2DCDC" w:themeFill="accent2" w:themeFillTint="32"/>
            <w:vAlign w:val="center"/>
          </w:tcPr>
          <w:p>
            <w:pPr>
              <w:rPr>
                <w:lang w:eastAsia="ja-JP"/>
              </w:rPr>
            </w:pPr>
            <w:r>
              <w:rPr>
                <w:rFonts w:hint="eastAsia"/>
              </w:rPr>
              <w:t>1</w:t>
            </w:r>
          </w:p>
        </w:tc>
        <w:tc>
          <w:tcPr>
            <w:tcW w:w="768" w:type="dxa"/>
            <w:shd w:val="clear" w:color="auto" w:fill="F2DCDC" w:themeFill="accent2" w:themeFillTint="32"/>
            <w:vAlign w:val="center"/>
          </w:tcPr>
          <w:p>
            <w:pPr>
              <w:rPr>
                <w:lang w:eastAsia="ja-JP"/>
              </w:rPr>
            </w:pPr>
            <w:r>
              <w:rPr>
                <w:rFonts w:hint="eastAsia"/>
              </w:rPr>
              <w:t>1</w:t>
            </w:r>
          </w:p>
        </w:tc>
        <w:tc>
          <w:tcPr>
            <w:tcW w:w="769" w:type="dxa"/>
            <w:shd w:val="clear" w:color="auto" w:fill="F2DCDC" w:themeFill="accent2" w:themeFillTint="32"/>
            <w:vAlign w:val="center"/>
          </w:tcPr>
          <w:p>
            <w:pPr>
              <w:rPr>
                <w:lang w:eastAsia="ja-JP"/>
              </w:rPr>
            </w:pPr>
            <w:r>
              <w:rPr>
                <w:rFonts w:hint="eastAsia"/>
              </w:rPr>
              <w:t>1</w:t>
            </w:r>
          </w:p>
        </w:tc>
        <w:tc>
          <w:tcPr>
            <w:tcW w:w="768" w:type="dxa"/>
            <w:shd w:val="clear" w:color="auto" w:fill="F2DCDC" w:themeFill="accent2" w:themeFillTint="32"/>
            <w:vAlign w:val="center"/>
          </w:tcPr>
          <w:p>
            <w:pPr>
              <w:rPr>
                <w:lang w:eastAsia="ja-JP"/>
              </w:rPr>
            </w:pPr>
            <w:r>
              <w:rPr>
                <w:rFonts w:hint="eastAsia"/>
              </w:rPr>
              <w:t>1</w:t>
            </w:r>
          </w:p>
        </w:tc>
        <w:tc>
          <w:tcPr>
            <w:tcW w:w="768" w:type="dxa"/>
            <w:shd w:val="clear" w:color="auto" w:fill="F2DCDC" w:themeFill="accent2" w:themeFillTint="32"/>
            <w:vAlign w:val="center"/>
          </w:tcPr>
          <w:p>
            <w:pPr>
              <w:rPr>
                <w:lang w:eastAsia="ja-JP"/>
              </w:rPr>
            </w:pPr>
            <w:r>
              <w:rPr>
                <w:rFonts w:hint="eastAsia"/>
              </w:rPr>
              <w:t>1</w:t>
            </w:r>
          </w:p>
        </w:tc>
        <w:tc>
          <w:tcPr>
            <w:tcW w:w="769" w:type="dxa"/>
            <w:shd w:val="clear" w:color="auto" w:fill="F2DCDC" w:themeFill="accent2" w:themeFillTint="32"/>
            <w:vAlign w:val="center"/>
          </w:tcPr>
          <w:p>
            <w:pPr>
              <w:rPr>
                <w:lang w:eastAsia="ja-JP"/>
              </w:rPr>
            </w:pPr>
            <w:r>
              <w:rPr>
                <w:rFonts w:hint="eastAsia"/>
              </w:rPr>
              <w:t>1</w:t>
            </w:r>
          </w:p>
        </w:tc>
        <w:tc>
          <w:tcPr>
            <w:tcW w:w="768" w:type="dxa"/>
            <w:shd w:val="clear" w:color="auto" w:fill="F2DCDC" w:themeFill="accent2" w:themeFillTint="32"/>
            <w:vAlign w:val="center"/>
          </w:tcPr>
          <w:p>
            <w:pPr>
              <w:rPr>
                <w:lang w:eastAsia="ja-JP"/>
              </w:rPr>
            </w:pPr>
            <w:r>
              <w:rPr>
                <w:rFonts w:hint="eastAsia"/>
              </w:rPr>
              <w:t>1</w:t>
            </w:r>
          </w:p>
        </w:tc>
        <w:tc>
          <w:tcPr>
            <w:tcW w:w="768" w:type="dxa"/>
            <w:shd w:val="clear" w:color="auto" w:fill="F2DCDC" w:themeFill="accent2" w:themeFillTint="32"/>
            <w:vAlign w:val="center"/>
          </w:tcPr>
          <w:p>
            <w:pPr>
              <w:rPr>
                <w:lang w:eastAsia="ja-JP"/>
              </w:rPr>
            </w:pPr>
            <w:r>
              <w:rPr>
                <w:rFonts w:hint="eastAsia"/>
              </w:rPr>
              <w:t>1</w:t>
            </w:r>
          </w:p>
        </w:tc>
        <w:tc>
          <w:tcPr>
            <w:tcW w:w="769" w:type="dxa"/>
            <w:shd w:val="clear" w:color="auto" w:fill="F2DCDC" w:themeFill="accent2" w:themeFillTint="32"/>
            <w:vAlign w:val="center"/>
          </w:tcPr>
          <w:p>
            <w:pPr>
              <w:rPr>
                <w:lang w:eastAsia="ja-JP"/>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bookmarkStart w:id="34" w:name="_GoBack" w:colFirst="1" w:colLast="3"/>
            <w:r>
              <w:rPr>
                <w:rFonts w:hint="eastAsia"/>
                <w:lang w:val="en-GB"/>
              </w:rPr>
              <w:t>评价*)</w:t>
            </w:r>
          </w:p>
        </w:tc>
        <w:tc>
          <w:tcPr>
            <w:tcW w:w="768" w:type="dxa"/>
            <w:shd w:val="clear" w:color="auto" w:fill="F2DCDC" w:themeFill="accent2" w:themeFillTint="32"/>
            <w:vAlign w:val="center"/>
          </w:tcPr>
          <w:p>
            <w:pPr>
              <w:rPr>
                <w:lang w:eastAsia="ja-JP"/>
              </w:rPr>
            </w:pPr>
            <w:r>
              <w:rPr>
                <w:rFonts w:hint="eastAsia"/>
              </w:rPr>
              <w:t>1</w:t>
            </w:r>
          </w:p>
        </w:tc>
        <w:tc>
          <w:tcPr>
            <w:tcW w:w="768" w:type="dxa"/>
            <w:shd w:val="clear" w:color="auto" w:fill="F2DCDC" w:themeFill="accent2" w:themeFillTint="32"/>
            <w:vAlign w:val="center"/>
          </w:tcPr>
          <w:p>
            <w:pPr>
              <w:rPr>
                <w:lang w:eastAsia="ja-JP"/>
              </w:rPr>
            </w:pPr>
            <w:r>
              <w:rPr>
                <w:rFonts w:hint="eastAsia"/>
              </w:rPr>
              <w:t>1</w:t>
            </w:r>
          </w:p>
        </w:tc>
        <w:tc>
          <w:tcPr>
            <w:tcW w:w="768" w:type="dxa"/>
            <w:shd w:val="clear" w:color="auto" w:fill="F2DCDC" w:themeFill="accent2" w:themeFillTint="32"/>
            <w:vAlign w:val="center"/>
          </w:tcPr>
          <w:p>
            <w:pPr>
              <w:rPr>
                <w:lang w:eastAsia="ja-JP"/>
              </w:rPr>
            </w:pPr>
            <w:r>
              <w:rPr>
                <w:rFonts w:hint="eastAsia"/>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bookmark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3073" o:spid="_x0000_s3073"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QyZmQ4MWM5YTdlOTM3ZWEzMDQwZGU2MjkwZTUyZWYifQ=="/>
  </w:docVars>
  <w:rsids>
    <w:rsidRoot w:val="00581230"/>
    <w:rsid w:val="00051F75"/>
    <w:rsid w:val="001F268D"/>
    <w:rsid w:val="00581230"/>
    <w:rsid w:val="1E200F5D"/>
    <w:rsid w:val="33523E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字符"/>
    <w:basedOn w:val="10"/>
    <w:link w:val="5"/>
    <w:qFormat/>
    <w:uiPriority w:val="99"/>
    <w:rPr>
      <w:rFonts w:ascii="Times New Roman" w:hAnsi="Times New Roman" w:eastAsia="宋体" w:cs="Times New Roman"/>
      <w:sz w:val="18"/>
      <w:szCs w:val="18"/>
    </w:rPr>
  </w:style>
  <w:style w:type="character" w:customStyle="1" w:styleId="15">
    <w:name w:val="页脚 字符"/>
    <w:basedOn w:val="10"/>
    <w:link w:val="4"/>
    <w:qFormat/>
    <w:uiPriority w:val="99"/>
    <w:rPr>
      <w:rFonts w:ascii="Times New Roman" w:hAnsi="Times New Roman" w:eastAsia="宋体" w:cs="Times New Roman"/>
      <w:sz w:val="18"/>
      <w:szCs w:val="18"/>
    </w:rPr>
  </w:style>
  <w:style w:type="character" w:customStyle="1" w:styleId="16">
    <w:name w:val="批注框文本 字符"/>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18559</Words>
  <Characters>19476</Characters>
  <Lines>153</Lines>
  <Paragraphs>43</Paragraphs>
  <TotalTime>0</TotalTime>
  <ScaleCrop>false</ScaleCrop>
  <LinksUpToDate>false</LinksUpToDate>
  <CharactersWithSpaces>19597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2023-03-16T07:02:23Z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2052-11.1.0.13703</vt:lpwstr>
  </property>
</Properties>
</file>