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宜春市好特富塑业有限公司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0202-2023-QEO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周文</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2020-N1QMS-2226478</w:t>
            </w:r>
          </w:p>
          <w:p w:rsidR="002D4D32">
            <w:pPr>
              <w:snapToGrid w:val="0"/>
              <w:spacing w:line="320" w:lineRule="exact"/>
              <w:ind w:left="1309"/>
              <w:rPr>
                <w:sz w:val="22"/>
                <w:szCs w:val="22"/>
                <w:highlight w:val="yellow"/>
              </w:rPr>
            </w:pPr>
            <w:r>
              <w:rPr>
                <w:sz w:val="22"/>
                <w:szCs w:val="22"/>
                <w:highlight w:val="yellow"/>
              </w:rPr>
              <w:t>2020-N1EMS-2226478</w:t>
            </w:r>
          </w:p>
          <w:p w:rsidR="002D4D32">
            <w:pPr>
              <w:snapToGrid w:val="0"/>
              <w:spacing w:line="320" w:lineRule="exact"/>
              <w:ind w:left="1309"/>
              <w:rPr>
                <w:sz w:val="22"/>
                <w:szCs w:val="22"/>
                <w:highlight w:val="yellow"/>
              </w:rPr>
            </w:pPr>
            <w:r>
              <w:rPr>
                <w:sz w:val="22"/>
                <w:szCs w:val="22"/>
                <w:highlight w:val="yellow"/>
              </w:rPr>
              <w:t>2020-N1OHSMS-2226478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李群</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ISC-JSZJ-624</w:t>
            </w:r>
          </w:p>
          <w:p w:rsidR="002D4D32">
            <w:pPr>
              <w:snapToGrid w:val="0"/>
              <w:spacing w:line="320" w:lineRule="exact"/>
              <w:ind w:left="1309"/>
              <w:rPr>
                <w:sz w:val="22"/>
                <w:szCs w:val="22"/>
                <w:highlight w:val="yellow"/>
              </w:rPr>
            </w:pPr>
            <w:r>
              <w:rPr>
                <w:sz w:val="22"/>
                <w:szCs w:val="22"/>
                <w:highlight w:val="yellow"/>
              </w:rPr>
              <w:t>ISC-JSZJ-624</w:t>
            </w:r>
          </w:p>
          <w:p w:rsidR="002D4D32">
            <w:pPr>
              <w:snapToGrid w:val="0"/>
              <w:spacing w:line="320" w:lineRule="exact"/>
              <w:ind w:left="1309"/>
              <w:rPr>
                <w:sz w:val="22"/>
                <w:szCs w:val="22"/>
                <w:highlight w:val="yellow"/>
              </w:rPr>
            </w:pPr>
            <w:r>
              <w:rPr>
                <w:sz w:val="22"/>
                <w:szCs w:val="22"/>
                <w:highlight w:val="yellow"/>
              </w:rPr>
              <w:t>ISC-JSZJ-624</w:t>
            </w:r>
          </w:p>
          <w:p w:rsidR="002D4D32">
            <w:pPr>
              <w:snapToGrid w:val="0"/>
              <w:spacing w:line="320" w:lineRule="exact"/>
              <w:ind w:left="1309"/>
              <w:rPr>
                <w:sz w:val="22"/>
                <w:szCs w:val="22"/>
                <w:highlight w:val="yellow"/>
              </w:rPr>
            </w:pPr>
            <w:r>
              <w:rPr>
                <w:sz w:val="22"/>
                <w:szCs w:val="22"/>
                <w:highlight w:val="yellow"/>
              </w:rPr>
              <w:t>江西省宜春市袁州区秀江南</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