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河北百圆项目管理集团有限公司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河北省石家庄市桥西区南二环西路37号双维大厦6层东区8606、8613室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河北省石家庄市桥西区南二环西路37号双维大厦6层东区8606、8613室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0201-2023-QEO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崔莲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0311-89846680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hbbyzb@126.com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崔莲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Q：招标代理、工程造价咨询服务</w:t>
            </w:r>
          </w:p>
          <w:p>
            <w:r>
              <w:t>E：招标代理、工程造价咨询服务所涉及场所的相关环境管理活动</w:t>
            </w:r>
          </w:p>
          <w:p>
            <w:r>
              <w:t>O：招标代理、工程造价咨询服务所涉及场所的相关职业健康安全管理活动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2023年03月15日 上午至2023年03月15日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赵丽萍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周文廷</w:t>
            </w:r>
            <w:bookmarkEnd w:id="27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194310</wp:posOffset>
            </wp:positionV>
            <wp:extent cx="6962775" cy="3472180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28" w:name="_GoBack"/>
      <w:bookmarkEnd w:id="28"/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03-15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9:45-10:15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0FE6218"/>
    <w:rsid w:val="15A047A4"/>
    <w:rsid w:val="422A17BF"/>
    <w:rsid w:val="7A7F3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2258</Words>
  <Characters>2780</Characters>
  <Lines>26</Lines>
  <Paragraphs>7</Paragraphs>
  <TotalTime>2</TotalTime>
  <ScaleCrop>false</ScaleCrop>
  <LinksUpToDate>false</LinksUpToDate>
  <CharactersWithSpaces>2817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2023-03-17T08:13:30Z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