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0272-2022-QEO-2023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重庆宏朗金属制品有限公司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重庆宏朗金属制品有限公司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重庆市南岸区涂山镇腾黄路28号15栋19-5号（仅限用于行政办公、通讯联络）</w:t>
            </w:r>
            <w:bookmarkEnd w:id="6"/>
          </w:p>
        </w:tc>
        <w:tc>
          <w:tcPr>
            <w:tcW w:w="1242" w:type="dxa"/>
            <w:vMerge w:val="restart"/>
            <w:vAlign w:val="center"/>
          </w:tcPr>
          <w:p>
            <w:r>
              <w:rPr>
                <w:rFonts w:hint="eastAsia"/>
              </w:rPr>
              <w:t>邮编</w:t>
            </w:r>
          </w:p>
        </w:tc>
        <w:tc>
          <w:tcPr>
            <w:tcW w:w="1771" w:type="dxa"/>
          </w:tcPr>
          <w:p>
            <w:bookmarkStart w:id="7" w:name="注册邮编"/>
            <w:r>
              <w:t>400060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重庆市南岸区腾龙大道46号12-14</w:t>
            </w:r>
            <w:bookmarkEnd w:id="8"/>
          </w:p>
        </w:tc>
        <w:tc>
          <w:tcPr>
            <w:tcW w:w="1242" w:type="dxa"/>
            <w:vMerge w:val="continue"/>
            <w:vAlign w:val="center"/>
          </w:tcPr>
          <w:p/>
        </w:tc>
        <w:tc>
          <w:tcPr>
            <w:tcW w:w="1771" w:type="dxa"/>
          </w:tcPr>
          <w:p>
            <w:bookmarkStart w:id="9" w:name="办公邮编"/>
            <w:r>
              <w:t>400060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林立杰</w:t>
            </w:r>
            <w:bookmarkEnd w:id="10"/>
          </w:p>
        </w:tc>
        <w:tc>
          <w:tcPr>
            <w:tcW w:w="1313" w:type="dxa"/>
            <w:vAlign w:val="center"/>
          </w:tcPr>
          <w:p>
            <w:r>
              <w:rPr>
                <w:rFonts w:hint="eastAsia"/>
              </w:rPr>
              <w:t>电话.</w:t>
            </w:r>
          </w:p>
        </w:tc>
        <w:tc>
          <w:tcPr>
            <w:tcW w:w="2180" w:type="dxa"/>
            <w:vAlign w:val="center"/>
          </w:tcPr>
          <w:p>
            <w:bookmarkStart w:id="11" w:name="联系人电话"/>
            <w:r>
              <w:t>17318211439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常红君</w:t>
            </w:r>
            <w:bookmarkEnd w:id="13"/>
          </w:p>
        </w:tc>
        <w:tc>
          <w:tcPr>
            <w:tcW w:w="1313" w:type="dxa"/>
            <w:vAlign w:val="center"/>
          </w:tcPr>
          <w:p>
            <w:r>
              <w:rPr>
                <w:rFonts w:hint="eastAsia"/>
              </w:rPr>
              <w:t>管理者代表</w:t>
            </w:r>
          </w:p>
        </w:tc>
        <w:tc>
          <w:tcPr>
            <w:tcW w:w="2180" w:type="dxa"/>
          </w:tcPr>
          <w:p>
            <w:bookmarkStart w:id="14" w:name="管理者代表"/>
            <w:r>
              <w:t>赵世戍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rPr>
              <w:t>服务</w:t>
            </w:r>
            <w:r>
              <w:rPr>
                <w:rFonts w:hint="eastAsia" w:ascii="Times New Roman" w:hAnsi="Times New Roman" w:eastAsia="宋体" w:cs="Times New Roman"/>
                <w:color w:val="000000"/>
              </w:rPr>
              <w:t>流程图：联系客户—业务洽谈—合同签订—采购产品—检验—产品销售—客户签收—售后服务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2023年03月11日 上午至2023年03月11日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eastAsia="zh-CN"/>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审核地址（含远程）</w:t>
            </w:r>
          </w:p>
        </w:tc>
        <w:tc>
          <w:tcPr>
            <w:tcW w:w="7831" w:type="dxa"/>
            <w:gridSpan w:val="3"/>
            <w:tcMar>
              <w:left w:w="113" w:type="dxa"/>
            </w:tcMa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重庆市南岸区腾龙大道46号12-1</w:t>
            </w:r>
            <w:r>
              <w:rPr>
                <w:rFonts w:hint="eastAsia" w:ascii="宋体" w:hAnsi="宋体" w:eastAsia="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Q：交通工程材料、金属制品（不含稀贵金属）、不锈钢制品的销售</w:t>
            </w:r>
          </w:p>
          <w:p>
            <w:r>
              <w:t>E：交通工程材料、金属制品（不含稀贵金属）、不锈钢制品的销售所涉及场所的相关环境管理活动</w:t>
            </w:r>
          </w:p>
          <w:p>
            <w:r>
              <w:t>O：交通工程材料、金属制品（不含稀贵金属）、不锈钢制品的销售所涉及场所的相关职业健康安全管理活动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highlight w:val="none"/>
              </w:rPr>
              <w:t>体系文件实施时间</w:t>
            </w:r>
          </w:p>
        </w:tc>
        <w:tc>
          <w:tcPr>
            <w:tcW w:w="2733" w:type="dxa"/>
            <w:vAlign w:val="top"/>
          </w:tcPr>
          <w:p>
            <w:pPr>
              <w:rPr>
                <w:highlight w:val="none"/>
              </w:rPr>
            </w:pPr>
            <w:r>
              <w:rPr>
                <w:rFonts w:hint="eastAsia"/>
                <w:highlight w:val="none"/>
                <w:lang w:val="en-US" w:eastAsia="zh-CN"/>
              </w:rPr>
              <w:t>2021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w:t>
            </w:r>
            <w:r>
              <w:rPr>
                <w:rFonts w:hint="eastAsia"/>
                <w:highlight w:val="none"/>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color w:val="auto"/>
                <w:lang w:val="de-DE" w:eastAsia="ja-JP"/>
              </w:rPr>
            </w:pPr>
            <w:r>
              <w:rPr>
                <w:color w:val="auto"/>
                <w:sz w:val="21"/>
                <w:szCs w:val="21"/>
              </w:rPr>
              <w:t>重庆宏朗金属制品有限公司</w:t>
            </w:r>
            <w:r>
              <w:rPr>
                <w:rFonts w:hint="eastAsia"/>
                <w:color w:val="auto"/>
                <w:sz w:val="21"/>
                <w:szCs w:val="21"/>
                <w:lang w:val="en-US" w:eastAsia="zh-CN"/>
              </w:rPr>
              <w:t>/</w:t>
            </w:r>
            <w:r>
              <w:rPr>
                <w:rFonts w:hint="eastAsia" w:asciiTheme="minorEastAsia" w:hAnsiTheme="minorEastAsia" w:eastAsiaTheme="minorEastAsia"/>
                <w:color w:val="auto"/>
                <w:sz w:val="20"/>
                <w:lang w:eastAsia="zh-CN"/>
              </w:rPr>
              <w:t>重庆市南岸区涂山镇腾黄路28号15栋19-5号（仅限用于行政办公、通讯联络）</w:t>
            </w:r>
          </w:p>
        </w:tc>
        <w:tc>
          <w:tcPr>
            <w:tcW w:w="2267" w:type="dxa"/>
            <w:vAlign w:val="top"/>
          </w:tcPr>
          <w:p>
            <w:pPr>
              <w:rPr>
                <w:lang w:val="de-DE" w:eastAsia="ja-JP"/>
              </w:rPr>
            </w:pPr>
            <w:r>
              <w:rPr>
                <w:rFonts w:cs="Times New Roman" w:asciiTheme="minorEastAsia" w:hAnsiTheme="minorEastAsia" w:eastAsiaTheme="minorEastAsia"/>
                <w:sz w:val="20"/>
              </w:rPr>
              <w:t>重庆市南岸区腾龙大道46号12-1</w:t>
            </w:r>
            <w:r>
              <w:rPr>
                <w:rFonts w:hint="eastAsia" w:cs="Times New Roman" w:asciiTheme="minorEastAsia" w:hAnsiTheme="minorEastAsia" w:eastAsiaTheme="minorEastAsia"/>
                <w:sz w:val="20"/>
                <w:lang w:val="en-US" w:eastAsia="zh-CN"/>
              </w:rPr>
              <w:t>4</w:t>
            </w:r>
          </w:p>
        </w:tc>
        <w:tc>
          <w:tcPr>
            <w:tcW w:w="571" w:type="dxa"/>
            <w:vAlign w:val="center"/>
          </w:tcPr>
          <w:p>
            <w:pPr>
              <w:rPr>
                <w:lang w:eastAsia="ja-JP"/>
              </w:rPr>
            </w:pPr>
            <w:r>
              <w:rPr>
                <w:rFonts w:hint="eastAsia"/>
                <w:lang w:val="en-US" w:eastAsia="zh-CN"/>
              </w:rPr>
              <w:t>9</w:t>
            </w:r>
          </w:p>
        </w:tc>
        <w:tc>
          <w:tcPr>
            <w:tcW w:w="2803" w:type="dxa"/>
            <w:vAlign w:val="center"/>
          </w:tcPr>
          <w:p>
            <w:pPr>
              <w:rPr>
                <w:lang w:eastAsia="ja-JP"/>
              </w:rPr>
            </w:pPr>
            <w:r>
              <w:rPr>
                <w:sz w:val="20"/>
              </w:rPr>
              <w:t>交通工程材料、金属制品（不含稀贵金属）、不锈钢制品的销售</w:t>
            </w:r>
          </w:p>
        </w:tc>
        <w:tc>
          <w:tcPr>
            <w:tcW w:w="669" w:type="dxa"/>
            <w:vAlign w:val="center"/>
          </w:tcPr>
          <w:p>
            <w:pPr>
              <w:rPr>
                <w:lang w:eastAsia="ja-JP"/>
              </w:rPr>
            </w:pPr>
            <w:r>
              <w:rPr>
                <w:rFonts w:hint="eastAsia" w:ascii="Times New Roman" w:hAnsi="Times New Roman" w:eastAsia="宋体" w:cs="Times New Roman"/>
                <w:sz w:val="20"/>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color w:val="auto"/>
                <w:lang w:eastAsia="ja-JP"/>
              </w:rPr>
            </w:pPr>
            <w:r>
              <w:rPr>
                <w:color w:val="auto"/>
                <w:sz w:val="21"/>
                <w:szCs w:val="21"/>
              </w:rPr>
              <w:t>重庆宏朗金属制品有限公司</w:t>
            </w:r>
            <w:r>
              <w:rPr>
                <w:rFonts w:hint="eastAsia"/>
                <w:color w:val="auto"/>
                <w:sz w:val="21"/>
                <w:szCs w:val="21"/>
                <w:lang w:val="en-US" w:eastAsia="zh-CN"/>
              </w:rPr>
              <w:t>/</w:t>
            </w:r>
            <w:r>
              <w:rPr>
                <w:rFonts w:hint="eastAsia" w:asciiTheme="minorEastAsia" w:hAnsiTheme="minorEastAsia" w:eastAsiaTheme="minorEastAsia"/>
                <w:color w:val="auto"/>
                <w:sz w:val="20"/>
                <w:lang w:eastAsia="zh-CN"/>
              </w:rPr>
              <w:t>重庆市南岸区涂山镇腾黄路28号15栋19-5号（仅限用于行政办公、通讯联络）</w:t>
            </w:r>
          </w:p>
        </w:tc>
        <w:tc>
          <w:tcPr>
            <w:tcW w:w="2267" w:type="dxa"/>
            <w:vAlign w:val="top"/>
          </w:tcPr>
          <w:p>
            <w:pPr>
              <w:rPr>
                <w:lang w:eastAsia="ja-JP"/>
              </w:rPr>
            </w:pPr>
            <w:r>
              <w:rPr>
                <w:rFonts w:cs="Times New Roman" w:asciiTheme="minorEastAsia" w:hAnsiTheme="minorEastAsia" w:eastAsiaTheme="minorEastAsia"/>
                <w:sz w:val="20"/>
              </w:rPr>
              <w:t>重庆市南岸区腾龙大道46号12-1</w:t>
            </w:r>
            <w:r>
              <w:rPr>
                <w:rFonts w:hint="eastAsia" w:cs="Times New Roman" w:asciiTheme="minorEastAsia" w:hAnsiTheme="minorEastAsia" w:eastAsiaTheme="minorEastAsia"/>
                <w:sz w:val="20"/>
                <w:lang w:val="en-US" w:eastAsia="zh-CN"/>
              </w:rPr>
              <w:t>4</w:t>
            </w:r>
          </w:p>
        </w:tc>
        <w:tc>
          <w:tcPr>
            <w:tcW w:w="571" w:type="dxa"/>
            <w:vAlign w:val="center"/>
          </w:tcPr>
          <w:p>
            <w:pPr>
              <w:rPr>
                <w:lang w:eastAsia="ja-JP"/>
              </w:rPr>
            </w:pPr>
            <w:r>
              <w:rPr>
                <w:rFonts w:hint="eastAsia"/>
                <w:lang w:val="en-US" w:eastAsia="zh-CN"/>
              </w:rPr>
              <w:t>9</w:t>
            </w:r>
          </w:p>
        </w:tc>
        <w:tc>
          <w:tcPr>
            <w:tcW w:w="2803" w:type="dxa"/>
            <w:vAlign w:val="center"/>
          </w:tcPr>
          <w:p>
            <w:pPr>
              <w:rPr>
                <w:lang w:eastAsia="ja-JP"/>
              </w:rPr>
            </w:pPr>
            <w:r>
              <w:rPr>
                <w:sz w:val="20"/>
              </w:rPr>
              <w:t>交通工程材料、金属制品（不含稀贵金属）、不锈钢制品的销售所涉及场所的相关环境管理活动</w:t>
            </w:r>
          </w:p>
        </w:tc>
        <w:tc>
          <w:tcPr>
            <w:tcW w:w="669" w:type="dxa"/>
            <w:vAlign w:val="center"/>
          </w:tcPr>
          <w:p>
            <w:pPr>
              <w:rPr>
                <w:lang w:eastAsia="ja-JP"/>
              </w:rPr>
            </w:pPr>
            <w:r>
              <w:rPr>
                <w:rFonts w:hint="eastAsia" w:ascii="Times New Roman" w:hAnsi="Times New Roman" w:eastAsia="宋体" w:cs="Times New Roman"/>
                <w:sz w:val="20"/>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color w:val="auto"/>
                <w:lang w:eastAsia="ja-JP"/>
              </w:rPr>
            </w:pPr>
            <w:r>
              <w:rPr>
                <w:color w:val="auto"/>
                <w:sz w:val="21"/>
                <w:szCs w:val="21"/>
              </w:rPr>
              <w:t>重庆宏朗金属制品有限公司</w:t>
            </w:r>
            <w:r>
              <w:rPr>
                <w:rFonts w:hint="eastAsia"/>
                <w:color w:val="auto"/>
                <w:sz w:val="21"/>
                <w:szCs w:val="21"/>
                <w:lang w:val="en-US" w:eastAsia="zh-CN"/>
              </w:rPr>
              <w:t>/</w:t>
            </w:r>
            <w:r>
              <w:rPr>
                <w:rFonts w:hint="eastAsia" w:asciiTheme="minorEastAsia" w:hAnsiTheme="minorEastAsia" w:eastAsiaTheme="minorEastAsia"/>
                <w:color w:val="auto"/>
                <w:sz w:val="20"/>
                <w:lang w:eastAsia="zh-CN"/>
              </w:rPr>
              <w:t>重庆市南岸区涂山镇腾黄路28号15栋19-5号（仅限用于行政办公、通讯联络）</w:t>
            </w:r>
          </w:p>
        </w:tc>
        <w:tc>
          <w:tcPr>
            <w:tcW w:w="2267" w:type="dxa"/>
            <w:vAlign w:val="top"/>
          </w:tcPr>
          <w:p>
            <w:pPr>
              <w:rPr>
                <w:lang w:eastAsia="ja-JP"/>
              </w:rPr>
            </w:pPr>
            <w:r>
              <w:rPr>
                <w:rFonts w:cs="Times New Roman" w:asciiTheme="minorEastAsia" w:hAnsiTheme="minorEastAsia" w:eastAsiaTheme="minorEastAsia"/>
                <w:sz w:val="20"/>
              </w:rPr>
              <w:t>重庆市南岸区腾龙大道46号12-1</w:t>
            </w:r>
            <w:r>
              <w:rPr>
                <w:rFonts w:hint="eastAsia" w:cs="Times New Roman" w:asciiTheme="minorEastAsia" w:hAnsiTheme="minorEastAsia" w:eastAsiaTheme="minorEastAsia"/>
                <w:sz w:val="20"/>
                <w:lang w:val="en-US" w:eastAsia="zh-CN"/>
              </w:rPr>
              <w:t>4</w:t>
            </w:r>
          </w:p>
        </w:tc>
        <w:tc>
          <w:tcPr>
            <w:tcW w:w="571" w:type="dxa"/>
            <w:vAlign w:val="center"/>
          </w:tcPr>
          <w:p>
            <w:pPr>
              <w:rPr>
                <w:lang w:eastAsia="ja-JP"/>
              </w:rPr>
            </w:pPr>
            <w:r>
              <w:rPr>
                <w:rFonts w:hint="eastAsia"/>
                <w:lang w:val="en-US" w:eastAsia="zh-CN"/>
              </w:rPr>
              <w:t>9</w:t>
            </w:r>
          </w:p>
        </w:tc>
        <w:tc>
          <w:tcPr>
            <w:tcW w:w="2803" w:type="dxa"/>
            <w:vAlign w:val="center"/>
          </w:tcPr>
          <w:p>
            <w:pPr>
              <w:rPr>
                <w:lang w:eastAsia="ja-JP"/>
              </w:rPr>
            </w:pPr>
            <w:r>
              <w:rPr>
                <w:sz w:val="20"/>
              </w:rPr>
              <w:t>交通工程材料、金属制品（不含稀贵金属）、不锈钢制品的销售所涉及场所的相关职业健康安全管理活动</w:t>
            </w:r>
          </w:p>
        </w:tc>
        <w:tc>
          <w:tcPr>
            <w:tcW w:w="669" w:type="dxa"/>
            <w:vAlign w:val="center"/>
          </w:tcPr>
          <w:p>
            <w:pPr>
              <w:rPr>
                <w:lang w:eastAsia="ja-JP"/>
              </w:rPr>
            </w:pPr>
            <w:r>
              <w:rPr>
                <w:rFonts w:hint="eastAsia" w:ascii="Times New Roman" w:hAnsi="Times New Roman" w:eastAsia="宋体" w:cs="Times New Roman"/>
                <w:sz w:val="20"/>
              </w:rPr>
              <w:t xml:space="preserve">GB/T45001-2020 </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w:t>
            </w:r>
            <w:r>
              <w:rPr>
                <w:rFonts w:hint="eastAsia"/>
                <w:lang w:eastAsia="zh-CN"/>
              </w:rPr>
              <w:t>□</w:t>
            </w:r>
            <w:r>
              <w:rPr>
                <w:rFonts w:hint="eastAsia"/>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上次不符合项发生在运营部E6.1.2条款，已完成整改。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tc>
        <w:tc>
          <w:tcPr>
            <w:tcW w:w="7380" w:type="dxa"/>
            <w:shd w:val="clear" w:color="auto" w:fill="auto"/>
            <w:vAlign w:val="top"/>
          </w:tcPr>
          <w:p>
            <w:pPr>
              <w:widowControl/>
              <w:jc w:val="left"/>
            </w:pPr>
            <w:r>
              <w:rPr>
                <w:rFonts w:hint="eastAsia" w:ascii="宋体" w:hAnsi="宋体" w:cs="宋体"/>
                <w:color w:val="000000"/>
                <w:kern w:val="0"/>
                <w:szCs w:val="21"/>
              </w:rPr>
              <w:t>交通工程材料、金属制品（不含稀贵金属）、不锈钢制品的销售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tc>
        <w:tc>
          <w:tcPr>
            <w:tcW w:w="7380" w:type="dxa"/>
            <w:shd w:val="clear" w:color="auto" w:fill="auto"/>
            <w:vAlign w:val="top"/>
          </w:tcPr>
          <w:p>
            <w:pPr>
              <w:widowControl/>
              <w:jc w:val="left"/>
            </w:pPr>
            <w:r>
              <w:rPr>
                <w:rFonts w:hint="eastAsia" w:ascii="宋体" w:hAnsi="宋体" w:cs="宋体"/>
                <w:color w:val="000000"/>
                <w:kern w:val="0"/>
                <w:szCs w:val="21"/>
              </w:rPr>
              <w:t>交通工程材料、金属制品（不含稀贵金属）、不锈钢制品的销售所涉及场所的相关环境管理活动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r>
              <w:rPr>
                <w:rFonts w:hint="eastAsia" w:ascii="宋体" w:hAnsi="宋体" w:cs="宋体"/>
                <w:color w:val="000000"/>
                <w:kern w:val="0"/>
                <w:szCs w:val="21"/>
              </w:rPr>
              <w:t>交通工程材料、金属制品（不含稀贵金属）、不锈钢制品的销售所涉及场所的相关职业健康安全管理活动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2023年3月11日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 xml:space="preserve"> </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运营部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3129"/>
              <w:gridCol w:w="134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rPr>
                  </w:pPr>
                  <w:r>
                    <w:rPr>
                      <w:rFonts w:hint="eastAsia"/>
                    </w:rPr>
                    <w:t>目标实际完成</w:t>
                  </w:r>
                </w:p>
                <w:p>
                  <w:pPr>
                    <w:pStyle w:val="2"/>
                  </w:pPr>
                  <w:r>
                    <w:rPr>
                      <w:rFonts w:hint="eastAsia"/>
                      <w:color w:val="000000"/>
                      <w:sz w:val="21"/>
                      <w:szCs w:val="21"/>
                    </w:rPr>
                    <w:t>（</w:t>
                  </w:r>
                  <w:r>
                    <w:rPr>
                      <w:rFonts w:hint="eastAsia"/>
                      <w:color w:val="000000"/>
                      <w:sz w:val="21"/>
                      <w:szCs w:val="21"/>
                      <w:lang w:val="en-US" w:eastAsia="zh-CN"/>
                    </w:rPr>
                    <w:t>2021.6-2022.2</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rPr>
                    <w:t>销售产品合格率为100%</w:t>
                  </w:r>
                </w:p>
              </w:tc>
              <w:tc>
                <w:tcPr>
                  <w:tcW w:w="3136" w:type="dxa"/>
                  <w:shd w:val="clear" w:color="auto" w:fill="auto"/>
                  <w:vAlign w:val="center"/>
                </w:tcPr>
                <w:p>
                  <w:pPr>
                    <w:rPr>
                      <w:rFonts w:hint="default" w:ascii="Times New Roman" w:hAnsi="Times New Roman" w:eastAsia="宋体" w:cs="Times New Roman"/>
                      <w:color w:val="000000"/>
                      <w:kern w:val="2"/>
                      <w:sz w:val="21"/>
                      <w:szCs w:val="18"/>
                      <w:highlight w:val="yellow"/>
                      <w:lang w:val="en-GB" w:eastAsia="zh-CN" w:bidi="ar-SA"/>
                    </w:rPr>
                  </w:pPr>
                  <w:r>
                    <w:rPr>
                      <w:rFonts w:hint="eastAsia" w:ascii="宋体" w:hAnsi="宋体" w:eastAsia="宋体" w:cs="宋体"/>
                      <w:color w:val="000000"/>
                      <w:kern w:val="0"/>
                      <w:sz w:val="21"/>
                      <w:lang w:val="en-US" w:eastAsia="zh-CN" w:bidi="ar-SA"/>
                    </w:rPr>
                    <w:t>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cs="Times New Roman"/>
                      <w:color w:val="auto"/>
                      <w:sz w:val="21"/>
                      <w:szCs w:val="21"/>
                      <w:highlight w:val="none"/>
                      <w:lang w:val="en-US" w:eastAsia="zh-CN"/>
                    </w:rPr>
                    <w:t>经营部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000000"/>
                      <w:kern w:val="0"/>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rPr>
                    <w:t>客户满意度95分以上</w:t>
                  </w:r>
                </w:p>
              </w:tc>
              <w:tc>
                <w:tcPr>
                  <w:tcW w:w="3136" w:type="dxa"/>
                  <w:shd w:val="clear" w:color="auto" w:fill="auto"/>
                  <w:vAlign w:val="center"/>
                </w:tcPr>
                <w:p>
                  <w:pPr>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000000"/>
                      <w:kern w:val="0"/>
                      <w:sz w:val="21"/>
                      <w:lang w:val="en-US" w:eastAsia="zh-CN" w:bidi="ar-SA"/>
                    </w:rPr>
                    <w:t>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cs="Times New Roman"/>
                      <w:color w:val="auto"/>
                      <w:sz w:val="21"/>
                      <w:szCs w:val="21"/>
                      <w:highlight w:val="none"/>
                      <w:lang w:val="en-US" w:eastAsia="zh-CN"/>
                    </w:rPr>
                    <w:t>经营部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000000"/>
                      <w:kern w:val="0"/>
                      <w:sz w:val="21"/>
                      <w:lang w:val="en-US" w:eastAsia="zh-CN" w:bidi="ar-SA"/>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p>
              </w:tc>
              <w:tc>
                <w:tcPr>
                  <w:tcW w:w="3136" w:type="dxa"/>
                  <w:shd w:val="clear" w:color="auto" w:fill="auto"/>
                  <w:vAlign w:val="center"/>
                </w:tcPr>
                <w:p>
                  <w:pPr>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000000"/>
                      <w:kern w:val="0"/>
                    </w:rPr>
                    <w:t>按期交付数量÷需交付总数量×100%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highlight w:val="none"/>
                      <w:lang w:val="en-US" w:eastAsia="zh-CN"/>
                    </w:rPr>
                    <w:t>经营部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000000"/>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yellow"/>
              </w:rPr>
            </w:pPr>
            <w:r>
              <w:rPr>
                <w:rFonts w:hint="eastAsia"/>
                <w:highlight w:val="none"/>
                <w:lang w:val="en-US" w:eastAsia="zh-CN"/>
              </w:rPr>
              <w:t>办公</w:t>
            </w:r>
            <w:r>
              <w:rPr>
                <w:rFonts w:hint="eastAsia"/>
                <w:highlight w:val="none"/>
              </w:rPr>
              <w:t>面积</w:t>
            </w:r>
            <w:r>
              <w:rPr>
                <w:rFonts w:hint="eastAsia"/>
                <w:highlight w:val="none"/>
                <w:lang w:eastAsia="zh-CN"/>
              </w:rPr>
              <w:t>50平方米左右</w:t>
            </w:r>
            <w:r>
              <w:rPr>
                <w:rFonts w:hint="eastAsia"/>
                <w:highlight w:val="none"/>
              </w:rPr>
              <w:t xml:space="preserve">；生产车间  个；库房  </w:t>
            </w:r>
            <w:r>
              <w:rPr>
                <w:rFonts w:hint="eastAsia"/>
                <w:highlight w:val="none"/>
                <w:lang w:val="en-US" w:eastAsia="zh-CN"/>
              </w:rPr>
              <w:t xml:space="preserve"> </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lang w:eastAsia="zh-CN"/>
              </w:rPr>
              <w:t>电脑、打印机等办公设备等。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highlight w:val="yellow"/>
                    </w:rPr>
                  </w:pPr>
                  <w:r>
                    <w:t>交通工程材料、金属制品（不含稀贵金属）、不锈钢制品的销售</w:t>
                  </w:r>
                </w:p>
              </w:tc>
              <w:tc>
                <w:tcPr>
                  <w:tcW w:w="2303" w:type="dxa"/>
                </w:tcPr>
                <w:p>
                  <w:pPr>
                    <w:shd w:val="clear" w:color="auto" w:fill="C7DAF1" w:themeFill="text2" w:themeFillTint="32"/>
                    <w:jc w:val="left"/>
                    <w:rPr>
                      <w:rFonts w:hint="default" w:eastAsia="宋体"/>
                      <w:highlight w:val="none"/>
                      <w:lang w:val="en-US" w:eastAsia="zh-CN"/>
                    </w:rPr>
                  </w:pPr>
                  <w:r>
                    <w:rPr>
                      <w:rFonts w:hint="eastAsia"/>
                      <w:highlight w:val="none"/>
                      <w:lang w:val="en-US" w:eastAsia="zh-CN"/>
                    </w:rPr>
                    <w:t>销售过程</w:t>
                  </w:r>
                </w:p>
              </w:tc>
              <w:tc>
                <w:tcPr>
                  <w:tcW w:w="3265" w:type="dxa"/>
                </w:tcPr>
                <w:p>
                  <w:pPr>
                    <w:shd w:val="clear" w:color="auto" w:fill="C7DAF1" w:themeFill="text2" w:themeFillTint="32"/>
                    <w:jc w:val="left"/>
                    <w:rPr>
                      <w:rFonts w:hint="eastAsia" w:eastAsiaTheme="minorEastAsia"/>
                      <w:highlight w:val="none"/>
                      <w:lang w:val="en-US" w:eastAsia="zh-CN"/>
                    </w:rPr>
                  </w:pPr>
                  <w:r>
                    <w:rPr>
                      <w:rFonts w:hint="eastAsia" w:eastAsia="宋体"/>
                      <w:color w:val="auto"/>
                      <w:sz w:val="21"/>
                      <w:szCs w:val="21"/>
                      <w:highlight w:val="none"/>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rPr>
                <w:rFonts w:hint="default"/>
                <w:highlight w:val="none"/>
                <w:lang w:val="en-US"/>
              </w:rPr>
            </w:pPr>
            <w:r>
              <w:rPr>
                <w:rFonts w:hint="eastAsia" w:ascii="宋体" w:hAnsi="宋体" w:eastAsia="宋体" w:cs="宋体"/>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eastAsia="zh-CN"/>
              </w:rPr>
              <w:t>：</w:t>
            </w:r>
            <w:r>
              <w:rPr>
                <w:rFonts w:hint="eastAsia"/>
                <w:highlight w:val="none"/>
                <w:u w:val="single"/>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2023年1月6日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年1月</w:t>
            </w:r>
            <w:r>
              <w:rPr>
                <w:rFonts w:hint="eastAsia" w:cs="Times New Roman"/>
                <w:color w:val="000000"/>
                <w:szCs w:val="18"/>
                <w:highlight w:val="none"/>
                <w:u w:val="single"/>
                <w:lang w:val="en-US" w:eastAsia="zh-CN"/>
              </w:rPr>
              <w:t>16</w:t>
            </w:r>
            <w:r>
              <w:rPr>
                <w:rFonts w:hint="eastAsia" w:cs="Times New Roman"/>
                <w:color w:val="000000"/>
                <w:szCs w:val="18"/>
                <w:highlight w:val="none"/>
                <w:u w:val="single"/>
                <w:lang w:eastAsia="zh-CN"/>
              </w:rPr>
              <w:t>日</w:t>
            </w:r>
            <w:r>
              <w:rPr>
                <w:rFonts w:hint="eastAsia"/>
                <w:highlight w:val="none"/>
              </w:rPr>
              <w:t>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不合格产品/服务 </w:t>
            </w:r>
            <w:r>
              <w:rPr>
                <w:rFonts w:hint="eastAsia" w:ascii="Wingdings" w:hAnsi="Wingdings"/>
                <w:highlight w:val="none"/>
                <w:lang w:eastAsia="zh-CN"/>
              </w:rPr>
              <w:t>□</w:t>
            </w:r>
            <w:r>
              <w:rPr>
                <w:rFonts w:hint="eastAsia"/>
                <w:highlight w:val="none"/>
              </w:rPr>
              <w:t>自我验证的结</w:t>
            </w:r>
            <w:r>
              <w:rPr>
                <w:rFonts w:hint="eastAsia"/>
              </w:rPr>
              <w:t xml:space="preserve">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4</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潜在</w:t>
                  </w:r>
                  <w:r>
                    <w:rPr>
                      <w:rFonts w:hint="eastAsia" w:ascii="Times New Roman" w:hAnsi="Times New Roman" w:eastAsia="宋体" w:cs="Times New Roman"/>
                    </w:rPr>
                    <w:t>火灾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固体废弃物排放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eastAsia="宋体" w:cs="Times New Roma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固体废弃物处置率100%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重大火灾事故为0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w:t>
            </w:r>
            <w:r>
              <w:rPr>
                <w:rFonts w:hint="eastAsia" w:ascii="Times New Roman" w:hAnsi="Times New Roman" w:eastAsia="宋体" w:cs="Times New Roman"/>
                <w:highlight w:val="none"/>
              </w:rPr>
              <w:t>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电脑、打印机等办公设备</w:t>
            </w:r>
            <w:r>
              <w:rPr>
                <w:rFonts w:hint="eastAsia" w:ascii="Times New Roman" w:hAnsi="Times New Roman" w:eastAsia="宋体" w:cs="Times New Roman"/>
                <w:highlight w:val="none"/>
                <w:lang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highlight w:val="none"/>
                    </w:rPr>
                  </w:pPr>
                  <w:r>
                    <w:rPr>
                      <w:rFonts w:hint="eastAsia"/>
                      <w:highlight w:val="none"/>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固体废弃物排放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w:t>
            </w:r>
            <w:r>
              <w:rPr>
                <w:rFonts w:hint="eastAsia"/>
                <w:highlight w:val="none"/>
                <w:u w:val="single"/>
                <w:lang w:val="en-US" w:eastAsia="zh-CN"/>
              </w:rPr>
              <w:t>3</w:t>
            </w:r>
            <w:r>
              <w:rPr>
                <w:rFonts w:hint="eastAsia"/>
                <w:highlight w:val="none"/>
                <w:u w:val="single"/>
                <w:lang w:eastAsia="zh-CN"/>
              </w:rPr>
              <w:t>年1月</w:t>
            </w:r>
            <w:r>
              <w:rPr>
                <w:rFonts w:hint="eastAsia"/>
                <w:highlight w:val="none"/>
                <w:u w:val="single"/>
                <w:lang w:val="en-US" w:eastAsia="zh-CN"/>
              </w:rPr>
              <w:t>17</w:t>
            </w:r>
            <w:r>
              <w:rPr>
                <w:rFonts w:hint="eastAsia"/>
                <w:highlight w:val="none"/>
                <w:u w:val="single"/>
                <w:lang w:eastAsia="zh-CN"/>
              </w:rPr>
              <w:t>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w:t>
            </w:r>
            <w:r>
              <w:rPr>
                <w:rFonts w:hint="eastAsia"/>
              </w:rPr>
              <w:t xml:space="preserve">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年10月1</w:t>
            </w:r>
            <w:r>
              <w:rPr>
                <w:rFonts w:hint="eastAsia"/>
                <w:highlight w:val="none"/>
                <w:u w:val="single"/>
                <w:lang w:val="en-US" w:eastAsia="zh-CN"/>
              </w:rPr>
              <w:t>4</w:t>
            </w:r>
            <w:r>
              <w:rPr>
                <w:rFonts w:hint="eastAsia"/>
                <w:highlight w:val="none"/>
                <w:u w:val="singl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w:t>
            </w:r>
            <w:r>
              <w:rPr>
                <w:rFonts w:hint="eastAsia" w:cs="Times New Roman"/>
                <w:color w:val="000000"/>
                <w:szCs w:val="18"/>
                <w:u w:val="single"/>
                <w:lang w:val="en-US" w:eastAsia="zh-CN"/>
              </w:rPr>
              <w:t>3</w:t>
            </w:r>
            <w:r>
              <w:rPr>
                <w:rFonts w:hint="eastAsia" w:cs="Times New Roman"/>
                <w:color w:val="000000"/>
                <w:szCs w:val="18"/>
                <w:u w:val="single"/>
                <w:lang w:eastAsia="zh-CN"/>
              </w:rPr>
              <w:t>年1月</w:t>
            </w:r>
            <w:r>
              <w:rPr>
                <w:rFonts w:hint="eastAsia" w:cs="Times New Roman"/>
                <w:color w:val="000000"/>
                <w:szCs w:val="18"/>
                <w:u w:val="single"/>
                <w:lang w:val="en-US" w:eastAsia="zh-CN"/>
              </w:rPr>
              <w:t>6</w:t>
            </w:r>
            <w:r>
              <w:rPr>
                <w:rFonts w:hint="eastAsia" w:cs="Times New Roman"/>
                <w:color w:val="000000"/>
                <w:szCs w:val="18"/>
                <w:highlight w:val="none"/>
                <w:u w:val="single"/>
                <w:lang w:eastAsia="zh-CN"/>
              </w:rPr>
              <w:t>日</w:t>
            </w:r>
            <w:r>
              <w:rPr>
                <w:rFonts w:hint="eastAsia"/>
                <w:highlight w:val="none"/>
                <w:u w:val="single"/>
                <w:lang w:val="en-US"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年1月</w:t>
            </w:r>
            <w:r>
              <w:rPr>
                <w:rFonts w:hint="eastAsia" w:cs="Times New Roman"/>
                <w:color w:val="000000"/>
                <w:szCs w:val="18"/>
                <w:highlight w:val="none"/>
                <w:u w:val="single"/>
                <w:lang w:val="en-US" w:eastAsia="zh-CN"/>
              </w:rPr>
              <w:t>16</w:t>
            </w:r>
            <w:r>
              <w:rPr>
                <w:rFonts w:hint="eastAsia" w:cs="Times New Roman"/>
                <w:color w:val="000000"/>
                <w:szCs w:val="18"/>
                <w:highlight w:val="none"/>
                <w:u w:val="single"/>
                <w:lang w:eastAsia="zh-CN"/>
              </w:rPr>
              <w:t>日</w:t>
            </w:r>
            <w:r>
              <w:rPr>
                <w:rFonts w:hint="eastAsia"/>
                <w:highlight w:val="none"/>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197"/>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highlight w:val="none"/>
                <w:lang w:val="en-US" w:eastAsia="zh-CN"/>
              </w:rPr>
              <w:t>李英志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yellow"/>
                      <w:lang w:val="en-US" w:eastAsia="zh-CN"/>
                    </w:rPr>
                  </w:pPr>
                  <w:r>
                    <w:rPr>
                      <w:rFonts w:hint="eastAsia" w:cs="Times New Roman" w:asciiTheme="minorEastAsia" w:hAnsiTheme="minorEastAsia" w:eastAsiaTheme="minorEastAsia"/>
                      <w:b w:val="0"/>
                      <w:bCs w:val="0"/>
                      <w:sz w:val="21"/>
                      <w:szCs w:val="21"/>
                      <w:highlight w:val="none"/>
                      <w:lang w:val="en-US" w:eastAsia="zh-CN"/>
                    </w:rPr>
                    <w:t>交通意外</w:t>
                  </w:r>
                </w:p>
              </w:tc>
              <w:tc>
                <w:tcPr>
                  <w:tcW w:w="396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lang w:eastAsia="zh-CN"/>
              </w:rPr>
              <w:t>■</w:t>
            </w:r>
            <w:r>
              <w:rPr>
                <w:rFonts w:hint="eastAsia"/>
                <w:highlight w:val="none"/>
              </w:rPr>
              <w:t>其他</w:t>
            </w:r>
            <w:r>
              <w:rPr>
                <w:rFonts w:hint="eastAsia"/>
                <w:highlight w:val="none"/>
                <w:lang w:eastAsia="zh-CN"/>
              </w:rPr>
              <w:t>：</w:t>
            </w:r>
            <w:r>
              <w:rPr>
                <w:rFonts w:hint="eastAsia" w:cs="Times New Roman" w:asciiTheme="minorEastAsia" w:hAnsiTheme="minorEastAsia" w:eastAsiaTheme="minorEastAsia"/>
                <w:b w:val="0"/>
                <w:bCs w:val="0"/>
                <w:sz w:val="21"/>
                <w:szCs w:val="21"/>
                <w:highlight w:val="none"/>
                <w:lang w:val="en-US" w:eastAsia="zh-CN"/>
              </w:rPr>
              <w:t>交通意外伤害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073"/>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073" w:type="dxa"/>
                  <w:shd w:val="clear" w:color="auto" w:fill="auto"/>
                </w:tcPr>
                <w:p>
                  <w:pPr>
                    <w:rPr>
                      <w:rFonts w:ascii="宋体" w:hAnsi="宋体"/>
                    </w:rPr>
                  </w:pPr>
                  <w:r>
                    <w:rPr>
                      <w:rFonts w:hint="eastAsia" w:ascii="宋体" w:hAnsi="宋体"/>
                    </w:rPr>
                    <w:t>责任部门</w:t>
                  </w:r>
                </w:p>
              </w:tc>
              <w:tc>
                <w:tcPr>
                  <w:tcW w:w="2139"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073"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2139"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触电</w:t>
                  </w:r>
                  <w:r>
                    <w:rPr>
                      <w:rFonts w:hint="eastAsia" w:ascii="Times New Roman" w:hAnsi="Times New Roman" w:eastAsia="宋体" w:cs="Times New Roman"/>
                      <w:color w:val="000000"/>
                      <w:szCs w:val="18"/>
                      <w:highlight w:val="none"/>
                      <w:lang w:eastAsia="zh-CN"/>
                    </w:rPr>
                    <w:t>事故为零</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073"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综合部</w:t>
                  </w:r>
                </w:p>
              </w:tc>
              <w:tc>
                <w:tcPr>
                  <w:tcW w:w="2139"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交通意外事故为零</w:t>
                  </w:r>
                </w:p>
              </w:tc>
              <w:tc>
                <w:tcPr>
                  <w:tcW w:w="3136" w:type="dxa"/>
                  <w:shd w:val="clear" w:color="auto" w:fill="auto"/>
                  <w:vAlign w:val="center"/>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通过</w:t>
                  </w:r>
                  <w:r>
                    <w:rPr>
                      <w:rFonts w:hint="eastAsia" w:cs="Times New Roman" w:asciiTheme="minorEastAsia" w:hAnsiTheme="minorEastAsia" w:eastAsiaTheme="minorEastAsia"/>
                      <w:b w:val="0"/>
                      <w:bCs w:val="0"/>
                      <w:sz w:val="21"/>
                      <w:szCs w:val="21"/>
                      <w:highlight w:val="none"/>
                    </w:rPr>
                    <w:t>管理方案和预案措施</w:t>
                  </w:r>
                  <w:r>
                    <w:rPr>
                      <w:rFonts w:hint="eastAsia" w:cs="Times New Roman" w:asciiTheme="minorEastAsia" w:hAnsiTheme="minorEastAsia" w:eastAsiaTheme="minorEastAsia"/>
                      <w:b w:val="0"/>
                      <w:bCs w:val="0"/>
                      <w:sz w:val="21"/>
                      <w:szCs w:val="21"/>
                      <w:highlight w:val="none"/>
                      <w:lang w:val="en-US" w:eastAsia="zh-CN"/>
                    </w:rPr>
                    <w:t>进行</w:t>
                  </w:r>
                  <w:r>
                    <w:rPr>
                      <w:rFonts w:hint="eastAsia" w:cs="Times New Roman" w:asciiTheme="minorEastAsia" w:hAnsiTheme="minorEastAsia" w:eastAsiaTheme="minorEastAsia"/>
                      <w:b w:val="0"/>
                      <w:bCs w:val="0"/>
                      <w:sz w:val="21"/>
                      <w:szCs w:val="21"/>
                      <w:highlight w:val="none"/>
                    </w:rPr>
                    <w:t>管理</w:t>
                  </w:r>
                </w:p>
              </w:tc>
              <w:tc>
                <w:tcPr>
                  <w:tcW w:w="1073"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运营部</w:t>
                  </w:r>
                </w:p>
              </w:tc>
              <w:tc>
                <w:tcPr>
                  <w:tcW w:w="2139" w:type="dxa"/>
                  <w:shd w:val="clear" w:color="auto" w:fill="auto"/>
                  <w:vAlign w:val="center"/>
                </w:tcPr>
                <w:p>
                  <w:pPr>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未发生交通意外事故</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应确定、提供并维护所需的基础设施情</w:t>
            </w:r>
            <w:r>
              <w:rPr>
                <w:rFonts w:hint="eastAsia" w:ascii="Times New Roman" w:hAnsi="Times New Roman" w:eastAsia="宋体" w:cs="Times New Roman"/>
                <w:highlight w:val="none"/>
              </w:rPr>
              <w:t>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电脑、打印机等办公设备</w:t>
            </w:r>
            <w:r>
              <w:rPr>
                <w:rFonts w:hint="eastAsia" w:ascii="Times New Roman" w:hAnsi="Times New Roman" w:eastAsia="宋体" w:cs="Times New Roman"/>
                <w:highlight w:val="none"/>
                <w:lang w:eastAsia="zh-CN"/>
              </w:rPr>
              <w:t>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rFonts w:hint="default" w:eastAsia="宋体"/>
                      <w:highlight w:val="none"/>
                      <w:lang w:val="en-US" w:eastAsia="zh-CN"/>
                    </w:rPr>
                  </w:pPr>
                  <w:r>
                    <w:rPr>
                      <w:rFonts w:hint="eastAsia"/>
                      <w:highlight w:val="none"/>
                      <w:lang w:val="en-US" w:eastAsia="zh-CN"/>
                    </w:rPr>
                    <w:t>交通意外</w:t>
                  </w: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w:t>
            </w:r>
            <w:r>
              <w:rPr>
                <w:rFonts w:hint="eastAsia"/>
                <w:highlight w:val="none"/>
                <w:u w:val="single"/>
                <w:lang w:val="en-US" w:eastAsia="zh-CN"/>
              </w:rPr>
              <w:t>3</w:t>
            </w:r>
            <w:r>
              <w:rPr>
                <w:rFonts w:hint="eastAsia"/>
                <w:highlight w:val="none"/>
                <w:u w:val="single"/>
                <w:lang w:eastAsia="zh-CN"/>
              </w:rPr>
              <w:t>年1月</w:t>
            </w:r>
            <w:r>
              <w:rPr>
                <w:rFonts w:hint="eastAsia"/>
                <w:highlight w:val="none"/>
                <w:u w:val="single"/>
                <w:lang w:val="en-US" w:eastAsia="zh-CN"/>
              </w:rPr>
              <w:t>17</w:t>
            </w:r>
            <w:r>
              <w:rPr>
                <w:rFonts w:hint="eastAsia"/>
                <w:highlight w:val="none"/>
                <w:u w:val="single"/>
                <w:lang w:eastAsia="zh-CN"/>
              </w:rPr>
              <w:t>日</w:t>
            </w:r>
            <w:r>
              <w:rPr>
                <w:rFonts w:hint="eastAsia" w:eastAsia="宋体"/>
                <w:highlight w:val="none"/>
              </w:rPr>
              <w:t>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w:t>
            </w:r>
            <w:r>
              <w:rPr>
                <w:rFonts w:hint="eastAsia" w:cs="Times New Roman"/>
                <w:highlight w:val="none"/>
                <w:u w:val="single"/>
                <w:lang w:val="en-US" w:eastAsia="zh-CN"/>
              </w:rPr>
              <w:t>2</w:t>
            </w:r>
            <w:r>
              <w:rPr>
                <w:rFonts w:hint="eastAsia" w:cs="Times New Roman"/>
                <w:highlight w:val="none"/>
                <w:u w:val="single"/>
                <w:lang w:eastAsia="zh-CN"/>
              </w:rPr>
              <w:t>年10月1</w:t>
            </w:r>
            <w:r>
              <w:rPr>
                <w:rFonts w:hint="eastAsia" w:cs="Times New Roman"/>
                <w:highlight w:val="none"/>
                <w:u w:val="single"/>
                <w:lang w:val="en-US" w:eastAsia="zh-CN"/>
              </w:rPr>
              <w:t>4</w:t>
            </w:r>
            <w:r>
              <w:rPr>
                <w:rFonts w:hint="eastAsia" w:cs="Times New Roman"/>
                <w:highlight w:val="none"/>
                <w:u w:val="single"/>
                <w:lang w:eastAsia="zh-CN"/>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w:t>
            </w:r>
            <w:r>
              <w:rPr>
                <w:rFonts w:hint="eastAsia" w:cs="Times New Roman"/>
                <w:color w:val="000000"/>
                <w:szCs w:val="18"/>
                <w:u w:val="single"/>
                <w:lang w:val="en-US" w:eastAsia="zh-CN"/>
              </w:rPr>
              <w:t>3</w:t>
            </w:r>
            <w:r>
              <w:rPr>
                <w:rFonts w:hint="eastAsia" w:cs="Times New Roman"/>
                <w:color w:val="000000"/>
                <w:szCs w:val="18"/>
                <w:u w:val="single"/>
                <w:lang w:eastAsia="zh-CN"/>
              </w:rPr>
              <w:t>年1月</w:t>
            </w:r>
            <w:r>
              <w:rPr>
                <w:rFonts w:hint="eastAsia" w:cs="Times New Roman"/>
                <w:color w:val="000000"/>
                <w:szCs w:val="18"/>
                <w:u w:val="single"/>
                <w:lang w:val="en-US" w:eastAsia="zh-CN"/>
              </w:rPr>
              <w:t>6</w:t>
            </w:r>
            <w:r>
              <w:rPr>
                <w:rFonts w:hint="eastAsia" w:cs="Times New Roman"/>
                <w:color w:val="000000"/>
                <w:szCs w:val="18"/>
                <w:u w:val="single"/>
                <w:lang w:eastAsia="zh-CN"/>
              </w:rPr>
              <w:t>日</w:t>
            </w:r>
            <w:r>
              <w:rPr>
                <w:rFonts w:hint="eastAsia"/>
              </w:rPr>
              <w:t>实施了职业健康安全管理体系内部审核，对职业健康安全管理体系的符合性和有效性进行了审核。内</w:t>
            </w:r>
            <w:r>
              <w:rPr>
                <w:rFonts w:hint="eastAsia"/>
                <w:highlight w:val="none"/>
              </w:rPr>
              <w:t>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项</w:t>
            </w:r>
            <w:r>
              <w:rPr>
                <w:rFonts w:hint="eastAsia"/>
                <w:highlight w:val="none"/>
              </w:rPr>
              <w:t>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3</w:t>
            </w:r>
            <w:r>
              <w:rPr>
                <w:rFonts w:hint="eastAsia" w:cs="Times New Roman"/>
                <w:color w:val="000000"/>
                <w:szCs w:val="18"/>
                <w:highlight w:val="none"/>
                <w:u w:val="single"/>
                <w:lang w:eastAsia="zh-CN"/>
              </w:rPr>
              <w:t>年1月</w:t>
            </w:r>
            <w:r>
              <w:rPr>
                <w:rFonts w:hint="eastAsia" w:cs="Times New Roman"/>
                <w:color w:val="000000"/>
                <w:szCs w:val="18"/>
                <w:highlight w:val="none"/>
                <w:u w:val="single"/>
                <w:lang w:val="en-US" w:eastAsia="zh-CN"/>
              </w:rPr>
              <w:t>16</w:t>
            </w:r>
            <w:r>
              <w:rPr>
                <w:rFonts w:hint="eastAsia" w:cs="Times New Roman"/>
                <w:color w:val="000000"/>
                <w:szCs w:val="18"/>
                <w:highlight w:val="none"/>
                <w:u w:val="single"/>
                <w:lang w:eastAsia="zh-CN"/>
              </w:rPr>
              <w:t>日</w:t>
            </w:r>
            <w:r>
              <w:rPr>
                <w:rFonts w:hint="eastAsia"/>
                <w:highlight w:val="none"/>
              </w:rPr>
              <w:t>对组织的职业健康安全管理体系进行了评审，以确保其持续的适宜性、充分性和有效性；管理评审输</w:t>
            </w:r>
            <w:r>
              <w:rPr>
                <w:rFonts w:hint="eastAsia"/>
              </w:rPr>
              <w:t>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bookmarkStart w:id="34" w:name="_GoBack"/>
            <w:bookmarkEnd w:id="34"/>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3A34A22"/>
    <w:rsid w:val="1F5C044F"/>
    <w:rsid w:val="21605D76"/>
    <w:rsid w:val="29D4444C"/>
    <w:rsid w:val="3DA95515"/>
    <w:rsid w:val="65705687"/>
    <w:rsid w:val="666D606B"/>
    <w:rsid w:val="6C8E6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20076</Words>
  <Characters>21070</Characters>
  <Lines>150</Lines>
  <Paragraphs>42</Paragraphs>
  <TotalTime>1</TotalTime>
  <ScaleCrop>false</ScaleCrop>
  <LinksUpToDate>false</LinksUpToDate>
  <CharactersWithSpaces>24117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2023-03-11T13:00:14Z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