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过程与活动、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涉及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受审核部门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：</w:t>
            </w:r>
            <w:r>
              <w:rPr>
                <w:rFonts w:hint="eastAsia" w:ascii="华文细黑" w:hAnsi="华文细黑" w:cs="华文细黑"/>
                <w:lang w:val="en-US" w:eastAsia="zh-CN"/>
              </w:rPr>
              <w:t>质监客服部</w:t>
            </w:r>
            <w:r>
              <w:rPr>
                <w:rFonts w:hint="eastAsia" w:ascii="华文细黑" w:hAnsi="华文细黑" w:eastAsia="华文细黑" w:cs="华文细黑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舒文静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孙喆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  <w:r>
              <w:rPr>
                <w:sz w:val="21"/>
                <w:szCs w:val="21"/>
                <w:lang w:val="de-DE"/>
              </w:rPr>
              <w:t>栾周</w:t>
            </w:r>
            <w:r>
              <w:rPr>
                <w:rFonts w:hint="eastAsia" w:ascii="华文细黑" w:hAnsi="华文细黑" w:eastAsia="华文细黑" w:cs="华文细黑"/>
              </w:rPr>
              <w:t xml:space="preserve"> 审核时间：202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月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</w:t>
            </w:r>
            <w:r>
              <w:rPr>
                <w:rFonts w:hint="eastAsia" w:ascii="华文细黑" w:hAnsi="华文细黑" w:eastAsia="华文细黑" w:cs="华文细黑"/>
              </w:rPr>
              <w:t>日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审核条款：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5.3、6.2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岗位、职责和权限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审核发现，质监客服部主要职责如下：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（一）参与制定企业发展战略与年度经营计划；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（二）负责企业整体质量战略的拟定，配合企业发展战略的需求，全面负责企业的质量管理工作；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（三）制定、督导从产品设计到旅游者接待、客户回访的全过程的安全管理操作规范；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（四）每月及时跟踪回访所有团队的满意度调查；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（五）了解ISO质量管理体系、品质旅行社的建设，做好相关台账的内部审查管理确保其有效在控；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（六）负责供应商（同业合作商）的质量监督；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（七）定期召开/主持质量管理制度及提高质量意识的培训；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（八）指导、参与重大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质量风险和事故的处理；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（九）实施旅游安全及安全生产培训，提高全体员工旅游安全保障及消防安全意识；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（十）协助总经理完成其他工作。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结合组织手册中职能和权限分配情况看，质监客服部的职责和权限基本明确，质监客服部负责</w:t>
            </w:r>
            <w:r>
              <w:rPr>
                <w:rFonts w:hint="eastAsia"/>
                <w:color w:val="auto"/>
                <w:lang w:val="en-US" w:eastAsia="zh-CN"/>
              </w:rPr>
              <w:t>人舒文静</w:t>
            </w:r>
            <w:r>
              <w:rPr>
                <w:rFonts w:hint="eastAsia"/>
                <w:lang w:val="en-US" w:eastAsia="zh-CN"/>
              </w:rPr>
              <w:t>基本了解其部门工作职责，符合要求。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质监客服部协同行政人事部完成以下EO目标：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2022.12.6的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和2022.12.30的《职业健康安全目标管理方案完成情况登记表》：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  <w:lang w:eastAsia="zh-CN"/>
              </w:rPr>
              <w:t>《环境运行控制程序》、《职业健康安全运行控制程序》、《相关方管理程序》等，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  <w:lang w:eastAsia="zh-CN"/>
              </w:rPr>
              <w:t>各环境因素、危险源</w:t>
            </w:r>
            <w:r>
              <w:rPr>
                <w:rFonts w:hint="eastAsia"/>
                <w:lang w:val="en-US" w:eastAsia="zh-CN"/>
              </w:rPr>
              <w:t>和环境和职业健康安全运行过程</w:t>
            </w:r>
            <w:r>
              <w:rPr>
                <w:rFonts w:hint="eastAsia"/>
                <w:lang w:eastAsia="zh-CN"/>
              </w:rPr>
              <w:t>按照要求进行策划和管理控制，</w:t>
            </w:r>
            <w:r>
              <w:rPr>
                <w:rFonts w:hint="eastAsia"/>
                <w:lang w:val="en-US" w:eastAsia="zh-CN"/>
              </w:rPr>
              <w:t>现场运行控制情况基本如下：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固废管控：生活垃圾，</w:t>
            </w:r>
            <w:r>
              <w:rPr>
                <w:rFonts w:hint="eastAsia"/>
                <w:lang w:val="en-US" w:eastAsia="zh-CN"/>
              </w:rPr>
              <w:t>办公区域</w:t>
            </w:r>
            <w:r>
              <w:rPr>
                <w:rFonts w:hint="eastAsia"/>
                <w:lang w:eastAsia="zh-CN"/>
              </w:rPr>
              <w:t>有垃圾篓集中倒入垃圾站，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送至统一地点集中处理；危废（墨盒、硒鼓、灯管）排放由供应商回收处置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2.废水</w:t>
            </w:r>
            <w:r>
              <w:rPr>
                <w:rFonts w:hint="eastAsia"/>
                <w:lang w:eastAsia="zh-CN"/>
              </w:rPr>
              <w:t>管控：主要生活废水排入政府污水管网统一处理。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废气管控：办公现场无废气排放。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噪声管控：办公噪声主要是</w:t>
            </w:r>
            <w:r>
              <w:rPr>
                <w:rFonts w:hint="eastAsia"/>
                <w:lang w:val="en-US" w:eastAsia="zh-CN"/>
              </w:rPr>
              <w:t>空调</w:t>
            </w:r>
            <w:r>
              <w:rPr>
                <w:rFonts w:hint="eastAsia"/>
                <w:lang w:eastAsia="zh-CN"/>
              </w:rPr>
              <w:t>运行，噪声较低，采取措施按时清洁保养。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能源资源管控：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  <w:lang w:eastAsia="zh-CN"/>
              </w:rPr>
              <w:t>过程注意节水、节电、节油</w:t>
            </w:r>
            <w:r>
              <w:rPr>
                <w:rFonts w:hint="eastAsia"/>
                <w:lang w:val="en-US" w:eastAsia="zh-CN"/>
              </w:rPr>
              <w:t>和当地环保要求</w:t>
            </w:r>
            <w:r>
              <w:rPr>
                <w:rFonts w:hint="eastAsia"/>
                <w:lang w:eastAsia="zh-CN"/>
              </w:rPr>
              <w:t>，未发现有漏水和浪费电能的现象。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6.职业健康防护：</w:t>
            </w:r>
            <w:r>
              <w:rPr>
                <w:rFonts w:hint="eastAsia"/>
                <w:lang w:eastAsia="zh-CN"/>
              </w:rPr>
              <w:t>持续落实劳保用品（</w:t>
            </w:r>
            <w:r>
              <w:rPr>
                <w:rFonts w:hint="eastAsia"/>
                <w:lang w:val="en-US" w:eastAsia="zh-CN"/>
              </w:rPr>
              <w:t>包括常用备用药品</w:t>
            </w:r>
            <w:r>
              <w:rPr>
                <w:rFonts w:hint="eastAsia"/>
                <w:lang w:eastAsia="zh-CN"/>
              </w:rPr>
              <w:t>）、过节费、确保月休等福利措施的实施；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安排员工体检；确保员工社保及团队意外险的落实到位。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潜在火灾管控：办公楼配备了消防栓和灭火器，</w:t>
            </w:r>
            <w:r>
              <w:rPr>
                <w:rFonts w:hint="eastAsia"/>
                <w:lang w:val="en-US" w:eastAsia="zh-CN"/>
              </w:rPr>
              <w:t>检查维护记录完整，</w:t>
            </w:r>
            <w:r>
              <w:rPr>
                <w:rFonts w:hint="eastAsia"/>
                <w:lang w:eastAsia="zh-CN"/>
              </w:rPr>
              <w:t>状态有效。</w:t>
            </w:r>
          </w:p>
          <w:p>
            <w:pPr>
              <w:bidi w:val="0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8.潜在</w:t>
            </w:r>
            <w:r>
              <w:rPr>
                <w:rFonts w:hint="eastAsia"/>
                <w:lang w:eastAsia="zh-CN"/>
              </w:rPr>
              <w:t>触电</w:t>
            </w:r>
            <w:r>
              <w:rPr>
                <w:rFonts w:hint="eastAsia"/>
                <w:lang w:val="en-US" w:eastAsia="zh-CN"/>
              </w:rPr>
              <w:t>管控：严格遵守操作规程，避免触电事故的发生，组织员工进行应急预案演练。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程序》，查看内容基本符合要求。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13举行的</w:t>
            </w:r>
            <w:r>
              <w:rPr>
                <w:rFonts w:hint="eastAsia"/>
              </w:rPr>
              <w:t>消防灭火演练，参加人员包括孙喆</w:t>
            </w:r>
            <w:r>
              <w:rPr>
                <w:rFonts w:hint="eastAsia"/>
                <w:lang w:val="en-US" w:eastAsia="zh-CN"/>
              </w:rPr>
              <w:t>等公司所有人员</w:t>
            </w:r>
            <w:r>
              <w:rPr>
                <w:rFonts w:hint="eastAsia"/>
              </w:rPr>
              <w:t>，记录了演练过程并进行了总结评估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审核发现，质监客服部参与了演练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056005" cy="1525270"/>
                  <wp:effectExtent l="0" t="0" r="10795" b="11430"/>
                  <wp:docPr id="1" name="图片 1" descr="微信截图_2022120512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21205120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6600" cy="1505585"/>
                  <wp:effectExtent l="0" t="0" r="0" b="5715"/>
                  <wp:docPr id="3" name="图片 3" descr="3268f916063220baba2a3cacc27b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68f916063220baba2a3cacc27b4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9775" cy="1507490"/>
                  <wp:effectExtent l="0" t="0" r="9525" b="3810"/>
                  <wp:docPr id="5" name="图片 5" descr="fdd56cc8f5ea7252a16aa3d3620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dd56cc8f5ea7252a16aa3d36207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目前没有发生需响应的突发情况。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96C92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681153"/>
    <w:rsid w:val="01BA22B8"/>
    <w:rsid w:val="02B315C3"/>
    <w:rsid w:val="03474323"/>
    <w:rsid w:val="065336FB"/>
    <w:rsid w:val="07096467"/>
    <w:rsid w:val="078B7CA7"/>
    <w:rsid w:val="0B343CF4"/>
    <w:rsid w:val="0B7E35D3"/>
    <w:rsid w:val="0D69422C"/>
    <w:rsid w:val="0EE6313B"/>
    <w:rsid w:val="0F933B9D"/>
    <w:rsid w:val="10D64689"/>
    <w:rsid w:val="122F6658"/>
    <w:rsid w:val="14065285"/>
    <w:rsid w:val="14F7697C"/>
    <w:rsid w:val="15040A7A"/>
    <w:rsid w:val="15704D94"/>
    <w:rsid w:val="17AA23CB"/>
    <w:rsid w:val="18686D72"/>
    <w:rsid w:val="1ABA0B77"/>
    <w:rsid w:val="1D661949"/>
    <w:rsid w:val="1D6923E1"/>
    <w:rsid w:val="1F722763"/>
    <w:rsid w:val="217725F9"/>
    <w:rsid w:val="220474F2"/>
    <w:rsid w:val="221B49EF"/>
    <w:rsid w:val="22BC0222"/>
    <w:rsid w:val="23CF11EF"/>
    <w:rsid w:val="254554E2"/>
    <w:rsid w:val="2555686D"/>
    <w:rsid w:val="26305D9F"/>
    <w:rsid w:val="271138CD"/>
    <w:rsid w:val="27F84A8D"/>
    <w:rsid w:val="28483B04"/>
    <w:rsid w:val="290760A2"/>
    <w:rsid w:val="294361DC"/>
    <w:rsid w:val="2AD72077"/>
    <w:rsid w:val="2D8F5286"/>
    <w:rsid w:val="2DEB754B"/>
    <w:rsid w:val="3078451F"/>
    <w:rsid w:val="318E5CBC"/>
    <w:rsid w:val="34B245A4"/>
    <w:rsid w:val="353A005A"/>
    <w:rsid w:val="35E054DE"/>
    <w:rsid w:val="38DB01DF"/>
    <w:rsid w:val="39861EF9"/>
    <w:rsid w:val="39C20A18"/>
    <w:rsid w:val="3B015E95"/>
    <w:rsid w:val="3C772C94"/>
    <w:rsid w:val="3CE210C6"/>
    <w:rsid w:val="3FBF43B6"/>
    <w:rsid w:val="3FCA4B09"/>
    <w:rsid w:val="40665046"/>
    <w:rsid w:val="414865FC"/>
    <w:rsid w:val="41812964"/>
    <w:rsid w:val="41FA7928"/>
    <w:rsid w:val="42255769"/>
    <w:rsid w:val="428E0270"/>
    <w:rsid w:val="442C3A12"/>
    <w:rsid w:val="45D773CD"/>
    <w:rsid w:val="470571F6"/>
    <w:rsid w:val="480F1EC9"/>
    <w:rsid w:val="483B3DDB"/>
    <w:rsid w:val="48E637DD"/>
    <w:rsid w:val="4A6562B1"/>
    <w:rsid w:val="4BF76C86"/>
    <w:rsid w:val="4D75797B"/>
    <w:rsid w:val="4DDB52AF"/>
    <w:rsid w:val="516C7D38"/>
    <w:rsid w:val="521717F1"/>
    <w:rsid w:val="53F53739"/>
    <w:rsid w:val="551928B5"/>
    <w:rsid w:val="59B220A5"/>
    <w:rsid w:val="5B323B5D"/>
    <w:rsid w:val="5CBE30B7"/>
    <w:rsid w:val="5CF04A8E"/>
    <w:rsid w:val="5CFA77B0"/>
    <w:rsid w:val="5D4C0EA2"/>
    <w:rsid w:val="5D4F5453"/>
    <w:rsid w:val="5EA07923"/>
    <w:rsid w:val="5F296CFF"/>
    <w:rsid w:val="60690F9B"/>
    <w:rsid w:val="62ED570E"/>
    <w:rsid w:val="653F683F"/>
    <w:rsid w:val="655233D6"/>
    <w:rsid w:val="66BE494B"/>
    <w:rsid w:val="6A303637"/>
    <w:rsid w:val="6BB04B7E"/>
    <w:rsid w:val="6C6F151C"/>
    <w:rsid w:val="6EA87ABD"/>
    <w:rsid w:val="6EDA613E"/>
    <w:rsid w:val="6FE52308"/>
    <w:rsid w:val="701C72FC"/>
    <w:rsid w:val="720A7302"/>
    <w:rsid w:val="727B566C"/>
    <w:rsid w:val="752E599C"/>
    <w:rsid w:val="775368EB"/>
    <w:rsid w:val="7B3F55B1"/>
    <w:rsid w:val="7BE20509"/>
    <w:rsid w:val="7F484B27"/>
    <w:rsid w:val="7FD67538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2</TotalTime>
  <ScaleCrop>false</ScaleCrop>
  <LinksUpToDate>false</LinksUpToDate>
  <CharactersWithSpaces>2496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2023-03-07T02:34:38Z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D070EC59307E49DF94A525A57562D2F8</vt:lpwstr>
  </property>
</Properties>
</file>