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3"/>
        <w:gridCol w:w="677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四川迪全教学设备有限公司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成都市青白江区龙王镇天平堰村2组1号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成都市青白江区龙王镇天平堰村2组1号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黄奕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15882028530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周国松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0193-2022-QEO-2023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bookmarkStart w:id="36" w:name="_GoBack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Q：校用家具、办公家具的组装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E：校用家具、办公家具的组装所涉及场所的相关环境管理活动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O：校用家具、办公家具的组装所涉及场所的相关职业健康安全管理活动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Q：23.01.01;23.01.04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E：23.01.01;23.01.04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O：23.01.01;23.01.04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2023年03月15日 上午至2023年03月15日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林怡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四川群儒教学设备有限公司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O:23.01.01,23.01.04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15828329019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100965</wp:posOffset>
                  </wp:positionV>
                  <wp:extent cx="812165" cy="275590"/>
                  <wp:effectExtent l="0" t="0" r="635" b="3810"/>
                  <wp:wrapNone/>
                  <wp:docPr id="39" name="图片 39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315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5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2023年3月12日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2023年3月12日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2023年3月12日</w:t>
            </w:r>
          </w:p>
        </w:tc>
      </w:tr>
    </w:tbl>
    <w:tbl>
      <w:tblPr>
        <w:tblStyle w:val="6"/>
        <w:tblW w:w="10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83"/>
        <w:gridCol w:w="955"/>
        <w:gridCol w:w="5833"/>
        <w:gridCol w:w="107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8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pageBreakBefore/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0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00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b/>
                <w:sz w:val="20"/>
              </w:rPr>
            </w:pPr>
          </w:p>
          <w:p>
            <w:pPr>
              <w:snapToGrid w:val="0"/>
              <w:spacing w:line="320" w:lineRule="exact"/>
            </w:pPr>
            <w:r>
              <w:rPr>
                <w:rFonts w:hint="eastAsia"/>
                <w:b/>
                <w:sz w:val="20"/>
              </w:rPr>
              <w:t>3月</w:t>
            </w: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83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788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804" w:hRule="atLeast"/>
          <w:jc w:val="center"/>
        </w:trPr>
        <w:tc>
          <w:tcPr>
            <w:tcW w:w="10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3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Merge w:val="restart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833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总则；7.1.6组织知识；7.4沟通；9.1.1监测、分析和评价总则；9.2内部审核；9.3管理评审；10.1改进 总则；10.3持续改进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72" w:hRule="atLeast"/>
          <w:jc w:val="center"/>
        </w:trPr>
        <w:tc>
          <w:tcPr>
            <w:tcW w:w="10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33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宋明珠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</w:rPr>
              <w:t>林怡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8 </w:t>
            </w:r>
            <w:r>
              <w:rPr>
                <w:rFonts w:hint="eastAsia" w:ascii="宋体" w:hAnsi="宋体" w:cs="新宋体"/>
                <w:sz w:val="18"/>
                <w:szCs w:val="18"/>
              </w:rPr>
              <w:t>宋明珠、林怡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；4.2相关方需求与期望；4.3确定体系范围；4.4体系；5.1领导作用与承诺；5.2方针；5.3组织的角色、职责和权限；5.4员工参与和协商；6.1应对风险和机遇的措施；6.1.4措施的策划；6.2目标及其实现的策划；7.1资源；7.4信息和沟通；9.1监视、测量、分析和评价；9.2内部审核；9.3管理评审；10.1事件、不符合和纠正措施；10.3持续改进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范围的确认、资质的确认、法律法规执行情况、重大质量事故，及顾客投诉和质量监督抽查情况，环境安全投诉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证书使用情况、上次审核不符合验证。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宋明珠、林怡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322" w:hRule="atLeast"/>
          <w:jc w:val="center"/>
        </w:trPr>
        <w:tc>
          <w:tcPr>
            <w:tcW w:w="10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3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10：30-12：00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午餐时间）</w:t>
            </w:r>
          </w:p>
        </w:tc>
        <w:tc>
          <w:tcPr>
            <w:tcW w:w="955" w:type="dxa"/>
            <w:vMerge w:val="restart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5833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陈伟</w:t>
            </w:r>
          </w:p>
          <w:p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5.3组织的角色、职责和权限；6.2质量目标及其实现的策划；7.1.2人员;7.2能力；7.3意识；7.5文件化信息；9.1.3分析和评价；10.2不合格和纠正措施。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54" w:hRule="atLeast"/>
          <w:jc w:val="center"/>
        </w:trPr>
        <w:tc>
          <w:tcPr>
            <w:tcW w:w="10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</w:p>
        </w:tc>
        <w:tc>
          <w:tcPr>
            <w:tcW w:w="5833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EMS-2015：宋明珠、林怡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环境因素；6.1.3合规义务；6.2目标及其达成的策划；7.1资源;7.2能力；7.3意识；7.4沟通；7.5文件化信息；8.1运行策划和控制；8.2应急准备和响应9.1监视、测量、分析与评估；9.1.2符合性评估；10.2不符合和纠正措施/EMS运行控制相关财务支出证据。</w:t>
            </w:r>
          </w:p>
          <w:p>
            <w:pPr>
              <w:pStyle w:val="2"/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</w:t>
            </w:r>
            <w:r>
              <w:rPr>
                <w:rFonts w:ascii="宋体" w:hAnsi="宋体" w:cs="新宋体"/>
                <w:sz w:val="18"/>
                <w:szCs w:val="18"/>
              </w:rPr>
              <w:t>8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：宋明珠、林怡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；8.1运行策划和控制；8.2应急准备和响应；9.1监视、测量、分析和评价；9.1.2法律法规要求和其他要求的合规性评价；10.2事件、不符合和纠正措施/OHSMS运行控制财务支出证据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宋明珠、林怡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0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</w:pPr>
          </w:p>
        </w:tc>
        <w:tc>
          <w:tcPr>
            <w:tcW w:w="158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55" w:type="dxa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5833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5.3组织的角色、职责和权限；6.2质量目标及其实现的策划；8.2产品和服务的要求；8.4外部提供过程、产品和服务的控制；9.1.2顾客满意</w:t>
            </w:r>
          </w:p>
          <w:p>
            <w:pPr>
              <w:pStyle w:val="2"/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pStyle w:val="2"/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</w:t>
            </w:r>
            <w:r>
              <w:rPr>
                <w:rFonts w:ascii="宋体" w:hAnsi="宋体" w:cs="新宋体"/>
                <w:sz w:val="18"/>
                <w:szCs w:val="18"/>
              </w:rPr>
              <w:t>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287" w:hRule="atLeast"/>
          <w:jc w:val="center"/>
        </w:trPr>
        <w:tc>
          <w:tcPr>
            <w:tcW w:w="10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3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12：30-15：00</w:t>
            </w:r>
          </w:p>
        </w:tc>
        <w:tc>
          <w:tcPr>
            <w:tcW w:w="955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8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hint="eastAsia" w:ascii="宋体" w:hAnsi="宋体" w:cs="新宋体"/>
                <w:bC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cs="新宋体"/>
                <w:bCs w:val="0"/>
                <w:spacing w:val="0"/>
                <w:sz w:val="18"/>
                <w:szCs w:val="18"/>
              </w:rPr>
              <w:t>8.1运行策划和控制；8</w:t>
            </w:r>
            <w:r>
              <w:rPr>
                <w:rFonts w:ascii="宋体" w:hAnsi="宋体" w:cs="新宋体"/>
                <w:bCs w:val="0"/>
                <w:spacing w:val="0"/>
                <w:sz w:val="18"/>
                <w:szCs w:val="18"/>
              </w:rPr>
              <w:t>.3</w:t>
            </w:r>
            <w:r>
              <w:rPr>
                <w:rFonts w:hint="eastAsia" w:ascii="宋体" w:hAnsi="宋体" w:cs="新宋体"/>
                <w:bCs w:val="0"/>
                <w:spacing w:val="0"/>
                <w:sz w:val="18"/>
                <w:szCs w:val="18"/>
              </w:rPr>
              <w:t>设计与开发8.5.1生产和服务提供的控制；8.5.2标识和可追溯性；8.5.3顾客或外部供方的财产；8.5.4防护；8.5.5交付后的活动；8.5.6更改控制；8.6产品和服务放行；8.7不合格输出的控制</w:t>
            </w:r>
          </w:p>
        </w:tc>
        <w:tc>
          <w:tcPr>
            <w:tcW w:w="1077" w:type="dxa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陈伟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3" w:hRule="atLeast"/>
          <w:jc w:val="center"/>
        </w:trPr>
        <w:tc>
          <w:tcPr>
            <w:tcW w:w="10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3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15：00-16：30</w:t>
            </w:r>
          </w:p>
        </w:tc>
        <w:tc>
          <w:tcPr>
            <w:tcW w:w="955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83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rPr>
                <w:rFonts w:ascii="宋体" w:hAnsi="宋体" w:cs="新宋体"/>
                <w:bC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cs="新宋体"/>
                <w:bCs w:val="0"/>
                <w:spacing w:val="0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bCs w:val="0"/>
                <w:spacing w:val="0"/>
                <w:sz w:val="18"/>
                <w:szCs w:val="18"/>
                <w:lang w:eastAsia="zh-CN"/>
              </w:rPr>
              <w:t>陈伟</w:t>
            </w:r>
          </w:p>
          <w:p>
            <w:pPr>
              <w:pStyle w:val="2"/>
              <w:rPr>
                <w:rFonts w:hint="eastAsia" w:ascii="宋体" w:hAnsi="宋体" w:cs="新宋体"/>
                <w:bC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cs="新宋体"/>
                <w:bCs w:val="0"/>
                <w:spacing w:val="0"/>
                <w:sz w:val="18"/>
                <w:szCs w:val="18"/>
              </w:rPr>
              <w:t>5.3组织的角色、职责和权限；6.2质量目标及其实现的策划；7.1.3基础设施； 7.1.4过程运行环境；7.1.5监视和测量资源；</w:t>
            </w:r>
          </w:p>
        </w:tc>
        <w:tc>
          <w:tcPr>
            <w:tcW w:w="1077" w:type="dxa"/>
            <w:tcBorders>
              <w:left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71" w:hRule="atLeast"/>
          <w:jc w:val="center"/>
        </w:trPr>
        <w:tc>
          <w:tcPr>
            <w:tcW w:w="10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3" w:type="dxa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15：00-16：30</w:t>
            </w:r>
          </w:p>
        </w:tc>
        <w:tc>
          <w:tcPr>
            <w:tcW w:w="955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8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宋体" w:hAnsi="宋体" w:cs="新宋体"/>
                <w:bC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cs="新宋体"/>
                <w:bCs w:val="0"/>
                <w:spacing w:val="0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bCs w:val="0"/>
                <w:spacing w:val="0"/>
                <w:sz w:val="18"/>
                <w:szCs w:val="18"/>
                <w:lang w:val="en-US" w:eastAsia="zh-CN"/>
              </w:rPr>
              <w:t>宋明珠</w:t>
            </w:r>
            <w:r>
              <w:rPr>
                <w:rFonts w:hint="eastAsia" w:ascii="宋体" w:hAnsi="宋体" w:cs="新宋体"/>
                <w:bCs w:val="0"/>
                <w:spacing w:val="0"/>
                <w:sz w:val="18"/>
                <w:szCs w:val="18"/>
              </w:rPr>
              <w:t>、林怡</w:t>
            </w:r>
          </w:p>
          <w:p>
            <w:pPr>
              <w:pStyle w:val="2"/>
              <w:rPr>
                <w:rFonts w:ascii="宋体" w:hAnsi="宋体" w:cs="新宋体"/>
                <w:bC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cs="新宋体"/>
                <w:bCs w:val="0"/>
                <w:spacing w:val="0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pStyle w:val="2"/>
              <w:rPr>
                <w:rFonts w:ascii="宋体" w:hAnsi="宋体" w:cs="新宋体"/>
                <w:bCs w:val="0"/>
                <w:spacing w:val="0"/>
                <w:sz w:val="18"/>
                <w:szCs w:val="18"/>
              </w:rPr>
            </w:pPr>
          </w:p>
          <w:p>
            <w:pPr>
              <w:pStyle w:val="2"/>
              <w:rPr>
                <w:rFonts w:hint="default" w:ascii="宋体" w:hAnsi="宋体" w:eastAsia="宋体" w:cs="新宋体"/>
                <w:bCs w:val="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新宋体"/>
                <w:bCs w:val="0"/>
                <w:spacing w:val="0"/>
                <w:sz w:val="18"/>
                <w:szCs w:val="18"/>
              </w:rPr>
              <w:t>OHSMS-2018</w:t>
            </w:r>
            <w:r>
              <w:rPr>
                <w:rFonts w:hint="eastAsia" w:ascii="宋体" w:hAnsi="宋体" w:cs="新宋体"/>
                <w:bCs w:val="0"/>
                <w:spacing w:val="0"/>
                <w:sz w:val="18"/>
                <w:szCs w:val="18"/>
              </w:rPr>
              <w:t xml:space="preserve"> ：</w:t>
            </w:r>
            <w:r>
              <w:rPr>
                <w:rFonts w:hint="eastAsia" w:ascii="宋体" w:hAnsi="宋体" w:cs="新宋体"/>
                <w:bCs w:val="0"/>
                <w:spacing w:val="0"/>
                <w:sz w:val="18"/>
                <w:szCs w:val="18"/>
                <w:lang w:val="en-US" w:eastAsia="zh-CN"/>
              </w:rPr>
              <w:t>宋明珠</w:t>
            </w:r>
            <w:r>
              <w:rPr>
                <w:rFonts w:hint="eastAsia" w:ascii="宋体" w:hAnsi="宋体" w:cs="新宋体"/>
                <w:bCs w:val="0"/>
                <w:spacing w:val="0"/>
                <w:sz w:val="18"/>
                <w:szCs w:val="18"/>
              </w:rPr>
              <w:t>、林怡</w:t>
            </w:r>
          </w:p>
          <w:p>
            <w:pPr>
              <w:pStyle w:val="2"/>
              <w:rPr>
                <w:rFonts w:hint="eastAsia" w:ascii="宋体" w:hAnsi="宋体" w:cs="新宋体"/>
                <w:bC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cs="新宋体"/>
                <w:bCs w:val="0"/>
                <w:spacing w:val="0"/>
                <w:sz w:val="18"/>
                <w:szCs w:val="18"/>
              </w:rPr>
              <w:t>5.3组织的角色、职责和权限；6.1.2危险源辨识和职业安全风险评价；6.2目标及其实现的策划；7.4沟通；8.1运行策划和控制；8.2应急准备和响应</w:t>
            </w:r>
          </w:p>
        </w:tc>
        <w:tc>
          <w:tcPr>
            <w:tcW w:w="1077" w:type="dxa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宋明珠、林怡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00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3" w:type="dxa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78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02463E8"/>
    <w:rsid w:val="637D3185"/>
    <w:rsid w:val="77143F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2635</Words>
  <Characters>3814</Characters>
  <Lines>37</Lines>
  <Paragraphs>10</Paragraphs>
  <TotalTime>62</TotalTime>
  <ScaleCrop>false</ScaleCrop>
  <LinksUpToDate>false</LinksUpToDate>
  <CharactersWithSpaces>3881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2023-03-18T03:10:39Z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