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b w:val="0"/>
          <w:bCs w:val="0"/>
          <w:sz w:val="21"/>
          <w:szCs w:val="21"/>
        </w:rPr>
        <w:t>0018-2020-QEO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河北卓汉通信工程有限公司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val="0"/>
                <w:bCs w:val="0"/>
                <w:color w:val="000000" w:themeColor="text1"/>
                <w:sz w:val="21"/>
                <w:szCs w:val="21"/>
              </w:rPr>
            </w:pPr>
            <w:r>
              <w:rPr>
                <w:rFonts w:hint="eastAsia"/>
                <w:b w:val="0"/>
                <w:bCs w:val="0"/>
                <w:sz w:val="21"/>
                <w:szCs w:val="21"/>
              </w:rPr>
              <w:t>吉洁</w:t>
            </w:r>
          </w:p>
        </w:tc>
        <w:tc>
          <w:tcPr>
            <w:tcW w:w="1094" w:type="dxa"/>
            <w:vAlign w:val="center"/>
          </w:tcPr>
          <w:p>
            <w:pPr>
              <w:spacing w:line="240" w:lineRule="exact"/>
              <w:rPr>
                <w:b w:val="0"/>
                <w:bCs w:val="0"/>
                <w:color w:val="000000" w:themeColor="text1"/>
                <w:sz w:val="21"/>
                <w:szCs w:val="21"/>
              </w:rPr>
            </w:pPr>
            <w:r>
              <w:rPr>
                <w:rFonts w:hint="eastAsia"/>
                <w:b w:val="0"/>
                <w:bCs w:val="0"/>
                <w:sz w:val="21"/>
                <w:szCs w:val="21"/>
                <w:lang w:val="en-US" w:eastAsia="zh-CN"/>
              </w:rPr>
              <w:t>组长</w:t>
            </w:r>
          </w:p>
        </w:tc>
        <w:tc>
          <w:tcPr>
            <w:tcW w:w="1114" w:type="dxa"/>
            <w:vAlign w:val="center"/>
          </w:tcPr>
          <w:p>
            <w:pPr>
              <w:spacing w:line="240" w:lineRule="exact"/>
              <w:jc w:val="center"/>
              <w:rPr>
                <w:b w:val="0"/>
                <w:bCs w:val="0"/>
                <w:color w:val="000000" w:themeColor="text1"/>
                <w:sz w:val="21"/>
                <w:szCs w:val="21"/>
              </w:rPr>
            </w:pPr>
            <w:r>
              <w:rPr>
                <w:rFonts w:hint="eastAsia"/>
                <w:b w:val="0"/>
                <w:bCs w:val="0"/>
                <w:sz w:val="21"/>
                <w:szCs w:val="21"/>
              </w:rPr>
              <w:t>女</w:t>
            </w:r>
          </w:p>
        </w:tc>
        <w:tc>
          <w:tcPr>
            <w:tcW w:w="3339" w:type="dxa"/>
            <w:gridSpan w:val="3"/>
            <w:vAlign w:val="top"/>
          </w:tcPr>
          <w:p>
            <w:pPr>
              <w:spacing w:line="240" w:lineRule="exact"/>
              <w:rPr>
                <w:rFonts w:hint="eastAsia"/>
                <w:b w:val="0"/>
                <w:bCs w:val="0"/>
                <w:color w:val="000000" w:themeColor="text1"/>
                <w:sz w:val="21"/>
                <w:szCs w:val="21"/>
              </w:rPr>
            </w:pPr>
            <w:r>
              <w:rPr>
                <w:rFonts w:hint="eastAsia"/>
                <w:b w:val="0"/>
                <w:bCs w:val="0"/>
                <w:color w:val="000000" w:themeColor="text1"/>
                <w:sz w:val="21"/>
                <w:szCs w:val="21"/>
              </w:rPr>
              <w:t>2019-N1QMS-3022240</w:t>
            </w:r>
          </w:p>
          <w:p>
            <w:pPr>
              <w:spacing w:line="240" w:lineRule="exact"/>
              <w:rPr>
                <w:rFonts w:hint="eastAsia"/>
                <w:b w:val="0"/>
                <w:bCs w:val="0"/>
                <w:color w:val="000000" w:themeColor="text1"/>
                <w:sz w:val="21"/>
                <w:szCs w:val="21"/>
              </w:rPr>
            </w:pPr>
            <w:r>
              <w:rPr>
                <w:rFonts w:hint="eastAsia"/>
                <w:b w:val="0"/>
                <w:bCs w:val="0"/>
                <w:color w:val="000000" w:themeColor="text1"/>
                <w:sz w:val="21"/>
                <w:szCs w:val="21"/>
              </w:rPr>
              <w:t>2020-N1EMS-3022240</w:t>
            </w:r>
          </w:p>
          <w:p>
            <w:pPr>
              <w:spacing w:line="240" w:lineRule="exact"/>
              <w:rPr>
                <w:b w:val="0"/>
                <w:bCs w:val="0"/>
                <w:color w:val="000000" w:themeColor="text1"/>
                <w:sz w:val="21"/>
                <w:szCs w:val="21"/>
              </w:rPr>
            </w:pPr>
            <w:r>
              <w:rPr>
                <w:rFonts w:hint="eastAsia"/>
                <w:b w:val="0"/>
                <w:bCs w:val="0"/>
                <w:color w:val="000000" w:themeColor="text1"/>
                <w:sz w:val="21"/>
                <w:szCs w:val="21"/>
              </w:rPr>
              <w:t>2020-N1OHSMS-3022240</w:t>
            </w:r>
          </w:p>
        </w:tc>
        <w:tc>
          <w:tcPr>
            <w:tcW w:w="2472" w:type="dxa"/>
            <w:gridSpan w:val="2"/>
            <w:vAlign w:val="center"/>
          </w:tcPr>
          <w:p>
            <w:pPr>
              <w:spacing w:line="240" w:lineRule="exact"/>
              <w:jc w:val="center"/>
              <w:rPr>
                <w:rFonts w:hint="eastAsia" w:eastAsia="宋体"/>
                <w:b w:val="0"/>
                <w:bCs w:val="0"/>
                <w:color w:val="000000" w:themeColor="text1"/>
                <w:sz w:val="18"/>
                <w:szCs w:val="18"/>
                <w:lang w:eastAsia="zh-CN"/>
              </w:rPr>
            </w:pPr>
            <w:r>
              <w:rPr>
                <w:rFonts w:hint="eastAsia"/>
                <w:b w:val="0"/>
                <w:bCs w:val="0"/>
                <w:sz w:val="21"/>
                <w:szCs w:val="21"/>
                <w:lang w:val="en-US" w:eastAsia="zh-CN"/>
              </w:rPr>
              <w:t>QEO</w:t>
            </w:r>
            <w:r>
              <w:rPr>
                <w:b w:val="0"/>
                <w:bCs w:val="0"/>
                <w:sz w:val="21"/>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无</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河北卓汉通信工程有限公司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ascii="宋体" w:hAnsi="宋体"/>
                <w:b w:val="0"/>
                <w:bCs w:val="0"/>
                <w:sz w:val="21"/>
                <w:szCs w:val="21"/>
                <w:lang w:eastAsia="zh-CN"/>
              </w:rPr>
              <w:t>河北省保定市莲池区七一东路1999号未来石3号楼1707室</w:t>
            </w:r>
          </w:p>
        </w:tc>
        <w:tc>
          <w:tcPr>
            <w:tcW w:w="1016" w:type="dxa"/>
            <w:vMerge w:val="restart"/>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b w:val="0"/>
                <w:bCs w:val="0"/>
                <w:sz w:val="21"/>
                <w:szCs w:val="21"/>
              </w:rPr>
              <w:t>071028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ascii="宋体" w:hAnsi="宋体"/>
                <w:b w:val="0"/>
                <w:bCs w:val="0"/>
                <w:sz w:val="21"/>
                <w:szCs w:val="21"/>
                <w:lang w:eastAsia="zh-CN"/>
              </w:rPr>
              <w:t>河北省保定市莲池区七一东路1999号未来石3号楼1707室</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b w:val="0"/>
                <w:bCs w:val="0"/>
                <w:sz w:val="21"/>
                <w:szCs w:val="21"/>
              </w:rPr>
              <w:t>071028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rPr>
                <w:rFonts w:hint="eastAsia" w:ascii="Times New Roman" w:hAnsi="Times New Roman" w:eastAsia="宋体" w:cs="Times New Roman"/>
                <w:b w:val="0"/>
                <w:bCs w:val="0"/>
                <w:kern w:val="2"/>
                <w:sz w:val="21"/>
                <w:szCs w:val="21"/>
                <w:lang w:val="en-US" w:eastAsia="zh-CN" w:bidi="ar-SA"/>
              </w:rPr>
            </w:pPr>
            <w:r>
              <w:rPr>
                <w:b w:val="0"/>
                <w:bCs w:val="0"/>
                <w:sz w:val="21"/>
                <w:szCs w:val="21"/>
              </w:rPr>
              <w:t>王洪涛</w:t>
            </w:r>
          </w:p>
        </w:tc>
        <w:tc>
          <w:tcPr>
            <w:tcW w:w="1362"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b w:val="0"/>
                <w:bCs w:val="0"/>
                <w:sz w:val="21"/>
                <w:szCs w:val="21"/>
              </w:rPr>
              <w:t>13191655866</w:t>
            </w:r>
          </w:p>
        </w:tc>
        <w:tc>
          <w:tcPr>
            <w:tcW w:w="669"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rPr>
                <w:rFonts w:hint="eastAsia" w:ascii="Times New Roman" w:hAnsi="Times New Roman" w:eastAsia="宋体" w:cs="Times New Roman"/>
                <w:b w:val="0"/>
                <w:bCs w:val="0"/>
                <w:kern w:val="2"/>
                <w:sz w:val="21"/>
                <w:szCs w:val="21"/>
                <w:lang w:val="en-US" w:eastAsia="zh-CN" w:bidi="ar-SA"/>
              </w:rPr>
            </w:pPr>
            <w:r>
              <w:rPr>
                <w:b w:val="0"/>
                <w:bCs w:val="0"/>
                <w:sz w:val="21"/>
                <w:szCs w:val="21"/>
              </w:rPr>
              <w:t>王洪涛</w:t>
            </w:r>
          </w:p>
        </w:tc>
        <w:tc>
          <w:tcPr>
            <w:tcW w:w="1362" w:type="dxa"/>
            <w:gridSpan w:val="2"/>
            <w:vAlign w:val="center"/>
          </w:tcPr>
          <w:p>
            <w:pPr>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jc w:val="both"/>
              <w:rPr>
                <w:rFonts w:hint="eastAsia"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孙东峰</w:t>
            </w:r>
          </w:p>
        </w:tc>
        <w:tc>
          <w:tcPr>
            <w:tcW w:w="669" w:type="dxa"/>
            <w:gridSpan w:val="2"/>
            <w:vAlign w:val="center"/>
          </w:tcPr>
          <w:p>
            <w:pPr>
              <w:jc w:val="both"/>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jc w:val="both"/>
              <w:rPr>
                <w:rFonts w:ascii="宋体" w:hAnsi="Times New Roman" w:eastAsia="宋体" w:cs="Times New Roman"/>
                <w:b/>
                <w:color w:val="000000"/>
                <w:kern w:val="2"/>
                <w:sz w:val="20"/>
                <w:szCs w:val="20"/>
                <w:lang w:val="en-US" w:eastAsia="zh-CN" w:bidi="ar-SA"/>
              </w:rPr>
            </w:pPr>
            <w:r>
              <w:rPr>
                <w:rFonts w:hint="default"/>
                <w:b w:val="0"/>
                <w:bCs w:val="0"/>
                <w:color w:val="auto"/>
                <w:sz w:val="21"/>
                <w:szCs w:val="21"/>
                <w:lang w:val="en-US" w:eastAsia="zh-CN"/>
              </w:rPr>
              <w:t>2563263602@qq.com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013" w:type="dxa"/>
            <w:gridSpan w:val="9"/>
          </w:tcPr>
          <w:p>
            <w:pPr>
              <w:rPr>
                <w:b w:val="0"/>
                <w:bCs w:val="0"/>
                <w:sz w:val="21"/>
                <w:szCs w:val="21"/>
              </w:rPr>
            </w:pPr>
            <w:bookmarkStart w:id="1" w:name="审核范围"/>
            <w:r>
              <w:rPr>
                <w:b w:val="0"/>
                <w:bCs w:val="0"/>
                <w:sz w:val="21"/>
                <w:szCs w:val="21"/>
              </w:rPr>
              <w:t>Q：</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w:t>
            </w:r>
          </w:p>
          <w:p>
            <w:pPr>
              <w:rPr>
                <w:b w:val="0"/>
                <w:bCs w:val="0"/>
                <w:sz w:val="21"/>
                <w:szCs w:val="21"/>
              </w:rPr>
            </w:pPr>
            <w:r>
              <w:rPr>
                <w:b w:val="0"/>
                <w:bCs w:val="0"/>
                <w:sz w:val="21"/>
                <w:szCs w:val="21"/>
              </w:rPr>
              <w:t>E：</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b w:val="0"/>
                <w:bCs w:val="0"/>
                <w:sz w:val="21"/>
                <w:szCs w:val="21"/>
              </w:rPr>
              <w:t>O：</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val="0"/>
                <w:bCs w:val="0"/>
                <w:sz w:val="21"/>
                <w:szCs w:val="21"/>
                <w:lang w:val="en-US" w:eastAsia="zh-CN"/>
              </w:rPr>
              <w:t>QEO</w:t>
            </w:r>
            <w:r>
              <w:rPr>
                <w:b w:val="0"/>
                <w:bCs w:val="0"/>
                <w:sz w:val="21"/>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2019年7月1日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见多场所申报清单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Q</w:t>
            </w:r>
            <w:r>
              <w:rPr>
                <w:rFonts w:hint="eastAsia"/>
                <w:sz w:val="21"/>
                <w:szCs w:val="21"/>
                <w:lang w:val="en-US" w:eastAsia="zh-CN"/>
              </w:rPr>
              <w:t>EO</w:t>
            </w: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技术</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Q5.3/6.2/7.1.3/7.1.4/7.1.5/8.1/</w:t>
            </w:r>
            <w:r>
              <w:rPr>
                <w:rFonts w:hint="default" w:ascii="Times New Roman" w:hAnsi="Times New Roman" w:eastAsia="宋体" w:cs="Times New Roman"/>
                <w:sz w:val="21"/>
                <w:szCs w:val="21"/>
                <w:lang w:val="en-US" w:eastAsia="zh-CN"/>
              </w:rPr>
              <w:t>8.3/8.5.1/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3"/>
        <w:gridCol w:w="1818"/>
        <w:gridCol w:w="135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5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261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val="0"/>
                <w:bCs w:val="0"/>
                <w:sz w:val="21"/>
                <w:szCs w:val="21"/>
                <w:lang w:val="en-US" w:eastAsia="zh-CN"/>
              </w:rPr>
              <w:t>安防</w:t>
            </w:r>
            <w:r>
              <w:rPr>
                <w:b w:val="0"/>
                <w:bCs w:val="0"/>
                <w:sz w:val="21"/>
                <w:szCs w:val="21"/>
              </w:rPr>
              <w:t>信息系统集成服务，电子产品、通讯终端设备、计算机、软件及辅助设备的销售</w:t>
            </w:r>
          </w:p>
        </w:tc>
        <w:tc>
          <w:tcPr>
            <w:tcW w:w="1818"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0"/>
                <w:szCs w:val="20"/>
                <w:lang w:val="en-US" w:eastAsia="zh-CN"/>
              </w:rPr>
              <w:t>计算机服务/销售服务</w:t>
            </w:r>
          </w:p>
        </w:tc>
        <w:tc>
          <w:tcPr>
            <w:tcW w:w="1355"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0"/>
                <w:szCs w:val="20"/>
                <w:lang w:val="en-US" w:eastAsia="zh-CN"/>
              </w:rPr>
              <w:t>/</w:t>
            </w:r>
          </w:p>
        </w:tc>
        <w:tc>
          <w:tcPr>
            <w:tcW w:w="261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公司确定了与质量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w:t>
            </w:r>
            <w:r>
              <w:rPr>
                <w:rFonts w:hint="eastAsia"/>
                <w:sz w:val="21"/>
                <w:szCs w:val="21"/>
                <w:lang w:val="en-US" w:eastAsia="zh-CN"/>
              </w:rPr>
              <w:t>办公服务过程</w:t>
            </w:r>
            <w:r>
              <w:rPr>
                <w:rFonts w:hint="eastAsia"/>
                <w:sz w:val="21"/>
                <w:szCs w:val="21"/>
              </w:rPr>
              <w:t>节能环保，对环境无重大污染、</w:t>
            </w:r>
            <w:r>
              <w:rPr>
                <w:rFonts w:hint="eastAsia"/>
                <w:sz w:val="21"/>
                <w:szCs w:val="21"/>
                <w:lang w:val="en-US" w:eastAsia="zh-CN"/>
              </w:rPr>
              <w:t>对员工进行体检</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w:t>
            </w:r>
          </w:p>
          <w:p>
            <w:pPr>
              <w:rPr>
                <w:rFonts w:hint="eastAsia" w:cs="宋体"/>
                <w:sz w:val="21"/>
                <w:szCs w:val="21"/>
              </w:rPr>
            </w:pPr>
            <w:r>
              <w:rPr>
                <w:sz w:val="21"/>
                <w:szCs w:val="21"/>
              </w:rPr>
              <w:t>1.</w:t>
            </w:r>
            <w:r>
              <w:rPr>
                <w:rFonts w:hint="eastAsia" w:cs="宋体"/>
                <w:sz w:val="21"/>
                <w:szCs w:val="21"/>
              </w:rPr>
              <w:t>管理方针：</w:t>
            </w:r>
          </w:p>
          <w:p>
            <w:pPr>
              <w:rPr>
                <w:rFonts w:hint="eastAsia" w:eastAsia="宋体" w:cs="宋体"/>
                <w:sz w:val="21"/>
                <w:szCs w:val="21"/>
                <w:lang w:eastAsia="zh-CN"/>
              </w:rPr>
            </w:pPr>
            <w:r>
              <w:rPr>
                <w:rFonts w:hint="eastAsia" w:cs="宋体"/>
                <w:sz w:val="21"/>
                <w:szCs w:val="21"/>
              </w:rPr>
              <w:t>质量第一，顾客至上, 遵信守约，追求卓越</w:t>
            </w:r>
            <w:r>
              <w:rPr>
                <w:rFonts w:hint="eastAsia" w:cs="宋体"/>
                <w:sz w:val="21"/>
                <w:szCs w:val="21"/>
                <w:lang w:eastAsia="zh-CN"/>
              </w:rPr>
              <w:t>。</w:t>
            </w:r>
          </w:p>
          <w:p>
            <w:pPr>
              <w:rPr>
                <w:rFonts w:hint="eastAsia" w:eastAsia="宋体" w:cs="宋体"/>
                <w:sz w:val="21"/>
                <w:szCs w:val="21"/>
                <w:lang w:eastAsia="zh-CN"/>
              </w:rPr>
            </w:pPr>
            <w:r>
              <w:rPr>
                <w:rFonts w:hint="eastAsia" w:cs="宋体"/>
                <w:sz w:val="21"/>
                <w:szCs w:val="21"/>
              </w:rPr>
              <w:t>防止污染，保护环境，预防为主，共建家园</w:t>
            </w:r>
            <w:r>
              <w:rPr>
                <w:rFonts w:hint="eastAsia" w:cs="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hint="eastAsia" w:cs="宋体"/>
                <w:sz w:val="21"/>
                <w:szCs w:val="21"/>
                <w:lang w:val="en-US" w:eastAsia="zh-CN"/>
              </w:rPr>
            </w:pPr>
            <w:r>
              <w:rPr>
                <w:rFonts w:hint="eastAsia" w:cs="宋体"/>
                <w:sz w:val="21"/>
                <w:szCs w:val="21"/>
              </w:rPr>
              <w:t>文明施工，关爱生命，遵守法规，持续改进</w:t>
            </w:r>
            <w:r>
              <w:rPr>
                <w:rFonts w:hint="eastAsia" w:cs="宋体"/>
                <w:sz w:val="21"/>
                <w:szCs w:val="21"/>
                <w:lang w:val="en-US" w:eastAsia="zh-CN"/>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 w:val="21"/>
                <w:szCs w:val="21"/>
              </w:rPr>
            </w:pPr>
            <w:r>
              <w:rPr>
                <w:rFonts w:hint="eastAsia"/>
                <w:b/>
                <w:color w:val="000000" w:themeColor="text1"/>
                <w:sz w:val="21"/>
                <w:szCs w:val="21"/>
                <w:lang w:val="en-US" w:eastAsia="zh-CN"/>
              </w:rPr>
              <w:t>4.</w:t>
            </w:r>
            <w:r>
              <w:rPr>
                <w:rFonts w:hint="eastAsia"/>
                <w:b/>
                <w:color w:val="000000" w:themeColor="text1"/>
                <w:sz w:val="21"/>
                <w:szCs w:val="2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分别从顾客需求、公司内部、适用的法律法规等方面</w:t>
            </w:r>
            <w:r>
              <w:rPr>
                <w:rFonts w:hint="eastAsia"/>
                <w:sz w:val="21"/>
                <w:szCs w:val="21"/>
              </w:rPr>
              <w:t>识别了必要的风险和机遇，如：方针和目标变更的需求，</w:t>
            </w:r>
            <w:r>
              <w:rPr>
                <w:rFonts w:hint="eastAsia"/>
                <w:sz w:val="21"/>
                <w:szCs w:val="21"/>
                <w:lang w:val="en-US" w:eastAsia="zh-CN"/>
              </w:rPr>
              <w:t>顾客需求</w:t>
            </w:r>
            <w:r>
              <w:rPr>
                <w:rFonts w:hint="eastAsia"/>
                <w:sz w:val="21"/>
                <w:szCs w:val="21"/>
              </w:rPr>
              <w:t>变更，</w:t>
            </w:r>
            <w:r>
              <w:rPr>
                <w:rFonts w:hint="eastAsia"/>
                <w:sz w:val="21"/>
                <w:szCs w:val="21"/>
                <w:lang w:val="en-US" w:eastAsia="zh-CN"/>
              </w:rPr>
              <w:t>服务方式变更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eastAsia="zh-CN"/>
              </w:rPr>
              <w:t>市场部紧密与客户沟通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r>
              <w:rPr>
                <w:rFonts w:hint="default" w:ascii="Times New Roman" w:hAnsi="Times New Roman" w:eastAsia="宋体" w:cs="Times New Roman"/>
                <w:sz w:val="21"/>
                <w:szCs w:val="21"/>
              </w:rPr>
              <w:t>外部提供的过程、产品和服务的</w:t>
            </w:r>
            <w:r>
              <w:rPr>
                <w:rFonts w:hint="eastAsia" w:cs="Times New Roman"/>
                <w:sz w:val="21"/>
                <w:szCs w:val="21"/>
                <w:lang w:val="en-US" w:eastAsia="zh-CN"/>
              </w:rPr>
              <w:t>过程；</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制定施工方案、业</w:t>
            </w:r>
            <w:r>
              <w:rPr>
                <w:rFonts w:hint="eastAsia" w:ascii="宋体" w:hAnsi="宋体"/>
                <w:b w:val="0"/>
                <w:bCs/>
                <w:color w:val="000000" w:themeColor="text1"/>
                <w:sz w:val="21"/>
                <w:szCs w:val="21"/>
                <w:u w:val="none"/>
                <w:lang w:val="en-US" w:eastAsia="zh-CN"/>
              </w:rPr>
              <w:t>务洽谈</w:t>
            </w:r>
            <w:r>
              <w:rPr>
                <w:rFonts w:hint="eastAsia" w:ascii="宋体" w:hAnsi="宋体"/>
                <w:b w:val="0"/>
                <w:bCs/>
                <w:color w:val="000000" w:themeColor="text1"/>
                <w:sz w:val="21"/>
                <w:szCs w:val="21"/>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综合布线、业务洽谈</w:t>
            </w:r>
            <w:r>
              <w:rPr>
                <w:rFonts w:hint="eastAsia" w:ascii="宋体" w:hAnsi="宋体"/>
                <w:b w:val="0"/>
                <w:bCs/>
                <w:color w:val="000000" w:themeColor="text1"/>
                <w:sz w:val="21"/>
                <w:szCs w:val="21"/>
                <w:lang w:val="en-US" w:eastAsia="zh-CN"/>
              </w:rPr>
              <w:t>，</w:t>
            </w:r>
            <w:r>
              <w:rPr>
                <w:rFonts w:hint="eastAsia" w:ascii="宋体" w:hAnsi="宋体"/>
                <w:b/>
                <w:color w:val="000000" w:themeColor="text1"/>
                <w:sz w:val="21"/>
                <w:szCs w:val="21"/>
              </w:rPr>
              <w:t xml:space="preserve">  </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rPr>
            </w:pPr>
            <w:r>
              <w:rPr>
                <w:rFonts w:hint="eastAsia" w:ascii="宋体" w:hAnsi="宋体"/>
                <w:b/>
                <w:color w:val="000000" w:themeColor="text1"/>
                <w:sz w:val="21"/>
                <w:szCs w:val="21"/>
              </w:rPr>
              <w:t>不适用条款</w:t>
            </w:r>
            <w:r>
              <w:rPr>
                <w:rFonts w:hint="eastAsia" w:ascii="宋体" w:hAnsi="宋体"/>
                <w:b/>
                <w:color w:val="000000" w:themeColor="text1"/>
                <w:sz w:val="21"/>
                <w:szCs w:val="21"/>
                <w:lang w:eastAsia="zh-CN"/>
              </w:rPr>
              <w:t>：</w:t>
            </w:r>
            <w:r>
              <w:rPr>
                <w:rFonts w:hint="eastAsia" w:cs="Times New Roman"/>
                <w:b w:val="0"/>
                <w:bCs/>
                <w:color w:val="000000" w:themeColor="text1"/>
                <w:sz w:val="21"/>
                <w:szCs w:val="21"/>
                <w:lang w:val="en-US" w:eastAsia="zh-CN"/>
              </w:rPr>
              <w:t>无</w:t>
            </w:r>
            <w:r>
              <w:rPr>
                <w:rFonts w:hint="eastAsia" w:ascii="宋体" w:hAnsi="宋体"/>
                <w:b w:val="0"/>
                <w:bCs w:val="0"/>
                <w:color w:val="000000" w:themeColor="text1"/>
                <w:sz w:val="21"/>
                <w:szCs w:val="21"/>
                <w:u w:val="none"/>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1"/>
                <w:szCs w:val="21"/>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高处坠落</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u w:val="single"/>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环境因素</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法律法规的宣传方式：</w:t>
            </w:r>
            <w:r>
              <w:rPr>
                <w:rFonts w:hint="eastAsia" w:ascii="宋体" w:hAnsi="宋体"/>
                <w:b/>
                <w:color w:val="000000" w:themeColor="text1"/>
                <w:sz w:val="2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p>
          <w:p>
            <w:pPr>
              <w:keepNext w:val="0"/>
              <w:keepLines w:val="0"/>
              <w:pageBreakBefore w:val="0"/>
              <w:tabs>
                <w:tab w:val="left" w:pos="0"/>
              </w:tabs>
              <w:kinsoku/>
              <w:wordWrap/>
              <w:overflowPunct/>
              <w:topLinePunct w:val="0"/>
              <w:bidi w:val="0"/>
              <w:snapToGrid/>
              <w:spacing w:line="360" w:lineRule="exact"/>
              <w:textAlignment w:val="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 xml:space="preserve">. </w:t>
            </w:r>
            <w:r>
              <w:rPr>
                <w:rFonts w:hint="eastAsia" w:ascii="宋体" w:hAnsi="宋体"/>
                <w:b/>
                <w:color w:val="000000" w:themeColor="text1"/>
                <w:sz w:val="21"/>
                <w:szCs w:val="21"/>
              </w:rPr>
              <w:t>目标、方案</w:t>
            </w: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rPr>
                <w:rFonts w:hint="eastAsia" w:cs="宋体"/>
                <w:sz w:val="21"/>
                <w:szCs w:val="21"/>
              </w:rPr>
            </w:pPr>
            <w:r>
              <w:rPr>
                <w:rFonts w:hint="eastAsia" w:ascii="Times New Roman" w:hAnsi="Times New Roman" w:cs="宋体"/>
                <w:sz w:val="21"/>
                <w:szCs w:val="21"/>
              </w:rPr>
              <w:t>公司</w:t>
            </w:r>
            <w:r>
              <w:rPr>
                <w:rFonts w:hint="eastAsia" w:cs="宋体"/>
                <w:sz w:val="21"/>
                <w:szCs w:val="21"/>
              </w:rPr>
              <w:t>目标</w:t>
            </w:r>
          </w:p>
          <w:p>
            <w:pPr>
              <w:rPr>
                <w:rFonts w:hint="eastAsia" w:cs="宋体"/>
              </w:rPr>
            </w:pPr>
            <w:r>
              <w:rPr>
                <w:rFonts w:hint="eastAsia" w:cs="宋体"/>
              </w:rPr>
              <w:t>1、项目验收合格率≥98%</w:t>
            </w:r>
          </w:p>
          <w:p>
            <w:pPr>
              <w:rPr>
                <w:rFonts w:hint="eastAsia" w:cs="宋体"/>
              </w:rPr>
            </w:pPr>
            <w:r>
              <w:rPr>
                <w:rFonts w:hint="eastAsia" w:cs="宋体"/>
              </w:rPr>
              <w:t>2、顾客满意度≥90%</w:t>
            </w:r>
          </w:p>
          <w:p>
            <w:pPr>
              <w:rPr>
                <w:rFonts w:hint="eastAsia" w:cs="宋体"/>
              </w:rPr>
            </w:pPr>
            <w:r>
              <w:rPr>
                <w:rFonts w:hint="eastAsia" w:cs="宋体"/>
              </w:rPr>
              <w:t>3、固废分类处置率100%</w:t>
            </w:r>
          </w:p>
          <w:p>
            <w:pPr>
              <w:rPr>
                <w:rFonts w:hint="eastAsia" w:cs="宋体"/>
              </w:rPr>
            </w:pPr>
            <w:r>
              <w:rPr>
                <w:rFonts w:hint="eastAsia" w:cs="宋体"/>
              </w:rPr>
              <w:t>4、火灾、触电、环境、安全事故为0</w:t>
            </w:r>
          </w:p>
          <w:p>
            <w:pPr>
              <w:rPr>
                <w:rFonts w:hint="eastAsia" w:cs="宋体"/>
              </w:rPr>
            </w:pPr>
            <w:r>
              <w:rPr>
                <w:rFonts w:hint="eastAsia" w:cs="宋体"/>
              </w:rPr>
              <w:t>5、职业病发生为0</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 w:val="21"/>
                <w:szCs w:val="21"/>
                <w:lang w:eastAsia="zh-CN"/>
              </w:rPr>
            </w:pPr>
            <w:r>
              <w:rPr>
                <w:rFonts w:hint="eastAsia" w:cs="宋体"/>
              </w:rPr>
              <w:t>6、轻伤事故少于3起/年</w:t>
            </w:r>
            <w:r>
              <w:rPr>
                <w:rFonts w:hint="eastAsia" w:cs="宋体"/>
                <w:sz w:val="21"/>
                <w:szCs w:val="21"/>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2019年</w:t>
            </w:r>
            <w:r>
              <w:rPr>
                <w:rFonts w:hint="eastAsia" w:cs="宋体"/>
                <w:sz w:val="21"/>
                <w:szCs w:val="21"/>
                <w:lang w:val="en-US" w:eastAsia="zh-CN"/>
              </w:rPr>
              <w:t>4</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人力资源服务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rPr>
              <w:t>电锤、电钻、虎钳、登高梯、网钳、发电机、串缆器、工具箱</w:t>
            </w:r>
            <w:r>
              <w:rPr>
                <w:rFonts w:hint="eastAsia"/>
                <w:lang w:eastAsia="zh-CN"/>
              </w:rPr>
              <w:t>、</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3" w:name="生产地址"/>
            <w:r>
              <w:rPr>
                <w:rFonts w:asciiTheme="minorEastAsia" w:hAnsiTheme="minorEastAsia" w:eastAsiaTheme="minorEastAsia"/>
                <w:b w:val="0"/>
                <w:bCs w:val="0"/>
                <w:sz w:val="21"/>
                <w:szCs w:val="21"/>
              </w:rPr>
              <w:t>河北省保定市莲池区七一东路1999号未来石3号楼1707室</w:t>
            </w:r>
            <w:bookmarkEnd w:id="3"/>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rPr>
              <w:t>主要检测设备包括：盒尺、万用表、网络测线器</w:t>
            </w:r>
            <w:r>
              <w:rPr>
                <w:rFonts w:hint="eastAsia"/>
                <w:lang w:eastAsia="zh-CN"/>
              </w:rPr>
              <w:t>。</w:t>
            </w:r>
            <w:r>
              <w:rPr>
                <w:rFonts w:hint="eastAsia"/>
                <w:lang w:val="en-US" w:eastAsia="zh-CN"/>
              </w:rPr>
              <w:t>另</w:t>
            </w:r>
            <w:r>
              <w:rPr>
                <w:rFonts w:hint="eastAsia"/>
                <w:sz w:val="21"/>
                <w:szCs w:val="21"/>
                <w:lang w:eastAsia="zh-CN"/>
              </w:rPr>
              <w:t>组织对服务质量进行检查、对顾客满意度进行调查，制定了对应表格</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公司对法律法规及其他要求进行了获取，包括产品质量法、合同法、</w:t>
            </w:r>
            <w:r>
              <w:rPr>
                <w:rFonts w:hint="eastAsia"/>
                <w:sz w:val="21"/>
                <w:szCs w:val="21"/>
                <w:lang w:eastAsia="zh-CN"/>
              </w:rPr>
              <w:t>标准化法、招标投标</w:t>
            </w:r>
            <w:r>
              <w:rPr>
                <w:rFonts w:hint="eastAsia"/>
                <w:sz w:val="21"/>
                <w:szCs w:val="21"/>
              </w:rPr>
              <w:t>法</w:t>
            </w:r>
            <w:r>
              <w:rPr>
                <w:rFonts w:hint="eastAsia"/>
                <w:sz w:val="21"/>
                <w:szCs w:val="21"/>
                <w:lang w:eastAsia="zh-CN"/>
              </w:rPr>
              <w:t>、</w:t>
            </w:r>
            <w:r>
              <w:rPr>
                <w:rFonts w:hint="eastAsia"/>
                <w:sz w:val="21"/>
                <w:szCs w:val="21"/>
                <w:lang w:val="en-US" w:eastAsia="zh-CN"/>
              </w:rPr>
              <w:t>劳动法、</w:t>
            </w:r>
            <w:r>
              <w:rPr>
                <w:rFonts w:hint="eastAsia"/>
              </w:rPr>
              <w:t>GB/T 50311-2007《综合布线系统工程设计规范》、GA/T 367-2001《视频安防监控系统技术要求》</w:t>
            </w:r>
            <w:r>
              <w:rPr>
                <w:rFonts w:hint="eastAsia"/>
                <w:lang w:eastAsia="zh-CN"/>
              </w:rPr>
              <w:t>、</w:t>
            </w:r>
            <w:r>
              <w:rPr>
                <w:rFonts w:hint="eastAsia"/>
              </w:rPr>
              <w:t>GB/T 50312-2007《综合布线系统工程验收规范》、GA308-2001《安全防范系统验收规则》</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w:t>
            </w:r>
            <w:r>
              <w:rPr>
                <w:rFonts w:hint="eastAsia"/>
                <w:sz w:val="21"/>
                <w:szCs w:val="21"/>
                <w:lang w:val="en-US" w:eastAsia="zh-CN"/>
              </w:rPr>
              <w:t>ISO45001：2018</w:t>
            </w:r>
            <w:r>
              <w:rPr>
                <w:rFonts w:hint="eastAsia"/>
                <w:sz w:val="21"/>
                <w:szCs w:val="21"/>
              </w:rPr>
              <w:t>《职业健康安全管理体系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rPr>
              <w:t>环保设施：</w:t>
            </w:r>
          </w:p>
          <w:p>
            <w:pPr>
              <w:keepNext w:val="0"/>
              <w:keepLines w:val="0"/>
              <w:pageBreakBefore w:val="0"/>
              <w:numPr>
                <w:numId w:val="0"/>
              </w:numPr>
              <w:kinsoku/>
              <w:wordWrap/>
              <w:overflowPunct/>
              <w:topLinePunct w:val="0"/>
              <w:bidi w:val="0"/>
              <w:snapToGrid/>
              <w:spacing w:line="360" w:lineRule="exact"/>
              <w:ind w:firstLine="422" w:firstLineChars="200"/>
              <w:textAlignment w:val="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ind w:left="0" w:leftChars="0" w:firstLine="0" w:firstLineChars="0"/>
              <w:textAlignment w:val="auto"/>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keepNext w:val="0"/>
              <w:keepLines w:val="0"/>
              <w:pageBreakBefore w:val="0"/>
              <w:numPr>
                <w:numId w:val="0"/>
              </w:numPr>
              <w:kinsoku/>
              <w:wordWrap/>
              <w:overflowPunct/>
              <w:topLinePunct w:val="0"/>
              <w:bidi w:val="0"/>
              <w:snapToGrid/>
              <w:spacing w:line="360" w:lineRule="exact"/>
              <w:ind w:leftChars="0" w:firstLine="422" w:firstLineChars="200"/>
              <w:textAlignment w:val="auto"/>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 针对方针的管理职责评审（包括针对组织宗旨，制定相关管理方针政策、确保方针为员工理解并在运营中实施，监视方针的实施并评审方针的适宜性）</w:t>
            </w:r>
          </w:p>
          <w:p>
            <w:pPr>
              <w:rPr>
                <w:rFonts w:hint="eastAsia" w:cs="宋体"/>
                <w:sz w:val="21"/>
                <w:szCs w:val="21"/>
              </w:rPr>
            </w:pPr>
            <w:r>
              <w:rPr>
                <w:rFonts w:hint="eastAsia" w:cs="宋体"/>
                <w:sz w:val="21"/>
                <w:szCs w:val="21"/>
                <w:lang w:val="en-US" w:eastAsia="zh-CN"/>
              </w:rPr>
              <w:t>1.</w:t>
            </w:r>
            <w:r>
              <w:rPr>
                <w:rFonts w:hint="eastAsia" w:cs="宋体"/>
                <w:sz w:val="21"/>
                <w:szCs w:val="21"/>
              </w:rPr>
              <w:t>管理方针：</w:t>
            </w:r>
          </w:p>
          <w:p>
            <w:pPr>
              <w:rPr>
                <w:rFonts w:hint="eastAsia" w:cs="宋体"/>
                <w:szCs w:val="22"/>
                <w:lang w:eastAsia="zh-CN"/>
              </w:rPr>
            </w:pPr>
            <w:r>
              <w:rPr>
                <w:rFonts w:hint="eastAsia" w:cs="宋体"/>
                <w:szCs w:val="22"/>
              </w:rPr>
              <w:t>质量第一，顾客至上, 遵信守约，追求卓越</w:t>
            </w:r>
            <w:r>
              <w:rPr>
                <w:rFonts w:hint="eastAsia" w:cs="宋体"/>
                <w:szCs w:val="22"/>
                <w:lang w:eastAsia="zh-CN"/>
              </w:rPr>
              <w:t>。</w:t>
            </w:r>
          </w:p>
          <w:p>
            <w:pPr>
              <w:rPr>
                <w:rFonts w:hint="eastAsia" w:cs="宋体"/>
                <w:szCs w:val="22"/>
                <w:lang w:eastAsia="zh-CN"/>
              </w:rPr>
            </w:pPr>
            <w:r>
              <w:rPr>
                <w:rFonts w:hint="eastAsia" w:cs="宋体"/>
                <w:szCs w:val="22"/>
              </w:rPr>
              <w:t>防止污染，保护环境，预防为主，共建家园</w:t>
            </w:r>
            <w:r>
              <w:rPr>
                <w:rFonts w:hint="eastAsia" w:cs="宋体"/>
                <w:szCs w:val="22"/>
                <w:lang w:eastAsia="zh-CN"/>
              </w:rPr>
              <w:t>。</w:t>
            </w:r>
          </w:p>
          <w:p>
            <w:pPr>
              <w:rPr>
                <w:rFonts w:hint="eastAsia" w:eastAsia="宋体"/>
                <w:sz w:val="21"/>
                <w:szCs w:val="21"/>
                <w:lang w:eastAsia="zh-CN"/>
              </w:rPr>
            </w:pPr>
            <w:r>
              <w:rPr>
                <w:rFonts w:hint="eastAsia" w:cs="宋体"/>
                <w:szCs w:val="22"/>
              </w:rPr>
              <w:t>文明施工，关爱生命，遵守法规，持续改进</w:t>
            </w:r>
            <w:r>
              <w:rPr>
                <w:rFonts w:hint="eastAsia" w:cs="宋体"/>
                <w:sz w:val="21"/>
                <w:szCs w:val="21"/>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159" w:hanging="167" w:hangingChars="79"/>
              <w:textAlignment w:val="auto"/>
              <w:rPr>
                <w:rFonts w:ascii="楷体_GB2312" w:eastAsia="楷体_GB2312"/>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w:t>
            </w:r>
            <w:r>
              <w:rPr>
                <w:rFonts w:hint="eastAsia" w:ascii="宋体" w:hAnsi="宋体"/>
                <w:sz w:val="21"/>
                <w:szCs w:val="21"/>
                <w:lang w:val="en-US" w:eastAsia="zh-CN"/>
              </w:rPr>
              <w:t>网络、</w:t>
            </w:r>
            <w:r>
              <w:rPr>
                <w:rFonts w:hint="eastAsia" w:ascii="宋体" w:hAnsi="宋体"/>
                <w:sz w:val="21"/>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w:t>
            </w:r>
            <w:r>
              <w:rPr>
                <w:rFonts w:hint="eastAsia" w:ascii="宋体" w:hAnsi="宋体"/>
                <w:sz w:val="21"/>
                <w:szCs w:val="21"/>
                <w:lang w:val="en-US" w:eastAsia="zh-CN"/>
              </w:rPr>
              <w:t>会议、</w:t>
            </w:r>
            <w:r>
              <w:rPr>
                <w:rFonts w:hint="eastAsia" w:ascii="宋体" w:hAnsi="宋体"/>
                <w:sz w:val="21"/>
                <w:szCs w:val="21"/>
              </w:rPr>
              <w:t>电话、面谈、</w:t>
            </w:r>
            <w:r>
              <w:rPr>
                <w:rFonts w:hint="eastAsia" w:ascii="宋体" w:hAnsi="宋体"/>
                <w:sz w:val="21"/>
                <w:szCs w:val="21"/>
                <w:lang w:val="en-US" w:eastAsia="zh-CN"/>
              </w:rPr>
              <w:t>网络</w:t>
            </w:r>
            <w:r>
              <w:rPr>
                <w:rFonts w:hint="eastAsia" w:ascii="宋体" w:hAnsi="宋体"/>
                <w:sz w:val="21"/>
                <w:szCs w:val="21"/>
              </w:rPr>
              <w:t>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QMS 组织对重要过程实施控制的结果</w:t>
            </w:r>
          </w:p>
          <w:p>
            <w:pPr>
              <w:keepNext w:val="0"/>
              <w:keepLines w:val="0"/>
              <w:pageBreakBefore w:val="0"/>
              <w:kinsoku/>
              <w:wordWrap/>
              <w:overflowPunct/>
              <w:topLinePunct w:val="0"/>
              <w:bidi w:val="0"/>
              <w:snapToGrid/>
              <w:spacing w:line="360" w:lineRule="exact"/>
              <w:ind w:left="193" w:leftChars="42" w:hanging="105" w:hangingChars="5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(包括对QMS关键工序(过程)、特殊过程控制</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default" w:ascii="Times New Roman" w:hAnsi="Times New Roman" w:cs="Times New Roman"/>
                <w:sz w:val="21"/>
                <w:szCs w:val="21"/>
                <w:lang w:val="en-US" w:eastAsia="zh-CN"/>
              </w:rPr>
              <w:t>经查合同评审记录，还有欠缺，已开出不符合项报告，要求限期整改</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2.采购过程控制：</w:t>
            </w:r>
            <w:r>
              <w:rPr>
                <w:rFonts w:hint="eastAsia" w:ascii="宋体" w:hAnsi="宋体"/>
                <w:color w:val="auto"/>
                <w:kern w:val="2"/>
                <w:sz w:val="21"/>
                <w:szCs w:val="21"/>
                <w:lang w:bidi="ar-SA"/>
              </w:rPr>
              <w:t>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val="en-US"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目前</w:t>
            </w:r>
            <w:r>
              <w:rPr>
                <w:rFonts w:hint="default" w:ascii="Times New Roman" w:hAnsi="Times New Roman" w:cs="Times New Roman"/>
                <w:sz w:val="21"/>
                <w:szCs w:val="21"/>
                <w:lang w:val="en-US" w:eastAsia="zh-CN"/>
              </w:rPr>
              <w:t>控制符合要求</w:t>
            </w:r>
            <w:r>
              <w:rPr>
                <w:rFonts w:hint="default" w:ascii="Times New Roman" w:hAnsi="Times New Roman" w:cs="Times New Roman"/>
                <w:sz w:val="21"/>
                <w:szCs w:val="21"/>
              </w:rPr>
              <w:t>。</w:t>
            </w:r>
          </w:p>
          <w:p>
            <w:pPr>
              <w:pStyle w:val="17"/>
              <w:keepNext w:val="0"/>
              <w:keepLines w:val="0"/>
              <w:pageBreakBefore w:val="0"/>
              <w:widowControl w:val="0"/>
              <w:kinsoku/>
              <w:wordWrap/>
              <w:overflowPunct/>
              <w:topLinePunct w:val="0"/>
              <w:bidi w:val="0"/>
              <w:snapToGrid/>
              <w:spacing w:line="340" w:lineRule="exact"/>
              <w:ind w:right="0" w:rightChars="0"/>
              <w:textAlignment w:val="auto"/>
              <w:rPr>
                <w:rFonts w:hint="default" w:ascii="Times New Roman" w:hAnsi="Times New Roman" w:cs="Times New Roman"/>
                <w:color w:val="auto"/>
                <w:sz w:val="21"/>
                <w:szCs w:val="21"/>
                <w:lang w:val="en-GB" w:eastAsia="zh-CN"/>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设计和开发过程：主要设计的项目为</w:t>
            </w:r>
            <w:r>
              <w:rPr>
                <w:rFonts w:hint="default" w:ascii="Times New Roman" w:hAnsi="Times New Roman" w:cs="Times New Roman"/>
                <w:sz w:val="21"/>
                <w:szCs w:val="21"/>
              </w:rPr>
              <w:t>计算机系统集成、安防信息系统集成</w:t>
            </w:r>
            <w:r>
              <w:rPr>
                <w:rFonts w:hint="default" w:ascii="Times New Roman" w:hAnsi="Times New Roman" w:cs="Times New Roman"/>
                <w:sz w:val="21"/>
                <w:szCs w:val="21"/>
                <w:lang w:val="en-US" w:eastAsia="zh-CN"/>
              </w:rPr>
              <w:t>，提供了</w:t>
            </w:r>
            <w:r>
              <w:rPr>
                <w:rFonts w:hint="default" w:ascii="Times New Roman" w:hAnsi="Times New Roman" w:cs="Times New Roman"/>
                <w:sz w:val="21"/>
                <w:szCs w:val="21"/>
              </w:rPr>
              <w:t>设计和开发项</w:t>
            </w:r>
            <w:r>
              <w:rPr>
                <w:rFonts w:hint="default" w:ascii="Times New Roman" w:hAnsi="Times New Roman" w:cs="Times New Roman"/>
                <w:color w:val="auto"/>
                <w:sz w:val="21"/>
                <w:szCs w:val="21"/>
              </w:rPr>
              <w:t>目计划书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设计开发项目任务书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设计开发输出清单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设计开发输入及评审记录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设计开发输出</w:t>
            </w:r>
            <w:r>
              <w:rPr>
                <w:rFonts w:hint="default" w:ascii="Times New Roman" w:hAnsi="Times New Roman" w:cs="Times New Roman"/>
                <w:color w:val="auto"/>
                <w:sz w:val="21"/>
                <w:szCs w:val="21"/>
                <w:lang w:eastAsia="zh-CN"/>
              </w:rPr>
              <w:t>及评审记录、设计开发确认记录、设计开发验证记录，</w:t>
            </w:r>
            <w:r>
              <w:rPr>
                <w:rFonts w:hint="default" w:ascii="Times New Roman" w:hAnsi="Times New Roman" w:cs="Times New Roman"/>
                <w:bCs/>
                <w:sz w:val="21"/>
                <w:szCs w:val="21"/>
                <w:lang w:eastAsia="zh-CN"/>
              </w:rPr>
              <w:t>现场审核发现设计开发资料基本符合要求。</w:t>
            </w:r>
            <w:r>
              <w:rPr>
                <w:rFonts w:hint="default" w:ascii="Times New Roman" w:hAnsi="Times New Roman" w:cs="Times New Roman"/>
                <w:sz w:val="21"/>
                <w:szCs w:val="21"/>
              </w:rPr>
              <w:t>审核结论：产品的</w:t>
            </w:r>
            <w:r>
              <w:rPr>
                <w:rFonts w:hint="default" w:ascii="Times New Roman" w:hAnsi="Times New Roman" w:cs="Times New Roman"/>
                <w:sz w:val="21"/>
                <w:szCs w:val="21"/>
                <w:lang w:eastAsia="zh-CN"/>
              </w:rPr>
              <w:t>设计开发</w:t>
            </w:r>
            <w:r>
              <w:rPr>
                <w:rFonts w:hint="default" w:ascii="Times New Roman" w:hAnsi="Times New Roman" w:cs="Times New Roman"/>
                <w:sz w:val="21"/>
                <w:szCs w:val="21"/>
              </w:rPr>
              <w:t>过程控制符合要求。</w:t>
            </w:r>
          </w:p>
          <w:p>
            <w:pPr>
              <w:keepNext w:val="0"/>
              <w:keepLines w:val="0"/>
              <w:pageBreakBefore w:val="0"/>
              <w:widowControl w:val="0"/>
              <w:kinsoku/>
              <w:wordWrap/>
              <w:overflowPunct/>
              <w:topLinePunct w:val="0"/>
              <w:bidi w:val="0"/>
              <w:snapToGrid/>
              <w:spacing w:line="340" w:lineRule="exact"/>
              <w:ind w:left="0" w:leftChars="0" w:right="0" w:rightChars="0"/>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w:t>
            </w:r>
            <w:r>
              <w:rPr>
                <w:rFonts w:hint="default" w:ascii="Times New Roman" w:hAnsi="Times New Roman" w:cs="Times New Roman"/>
                <w:color w:val="auto"/>
                <w:kern w:val="2"/>
                <w:sz w:val="21"/>
                <w:szCs w:val="21"/>
                <w:lang w:val="en-GB" w:eastAsia="zh-CN" w:bidi="ar-SA"/>
              </w:rPr>
              <w:t>施工过程控制：依据施工方案进行施工，</w:t>
            </w:r>
            <w:r>
              <w:rPr>
                <w:rFonts w:hint="default" w:ascii="Times New Roman" w:hAnsi="Times New Roman" w:cs="Times New Roman"/>
                <w:sz w:val="21"/>
                <w:szCs w:val="21"/>
                <w:lang w:eastAsia="zh-CN"/>
              </w:rPr>
              <w:t>方案中明</w:t>
            </w:r>
            <w:r>
              <w:rPr>
                <w:rFonts w:hint="default" w:ascii="Times New Roman" w:hAnsi="Times New Roman" w:cs="Times New Roman"/>
                <w:sz w:val="21"/>
                <w:szCs w:val="21"/>
              </w:rPr>
              <w:t>确了</w:t>
            </w:r>
            <w:r>
              <w:rPr>
                <w:rFonts w:hint="default" w:ascii="Times New Roman" w:hAnsi="Times New Roman" w:cs="Times New Roman"/>
                <w:sz w:val="21"/>
                <w:szCs w:val="21"/>
                <w:lang w:eastAsia="zh-CN"/>
              </w:rPr>
              <w:t>施工布置及施工方案、与相关单位的施工配合、项目组织结构、施工进度计划及进度保证措施、材料供应的总体计划及质量保证措施、降低成措施、冬雨季施工措施、文明施工、环境保护措施、工程质量保证体系、工程实施人员</w:t>
            </w:r>
            <w:r>
              <w:rPr>
                <w:rFonts w:hint="default" w:ascii="Times New Roman" w:hAnsi="Times New Roman" w:cs="Times New Roman"/>
                <w:sz w:val="21"/>
                <w:szCs w:val="21"/>
              </w:rPr>
              <w:t>等</w:t>
            </w:r>
            <w:r>
              <w:rPr>
                <w:rFonts w:hint="default" w:ascii="Times New Roman" w:hAnsi="Times New Roman" w:cs="Times New Roman"/>
                <w:sz w:val="21"/>
                <w:szCs w:val="21"/>
                <w:lang w:eastAsia="zh-CN"/>
              </w:rPr>
              <w:t>，</w:t>
            </w:r>
            <w:r>
              <w:rPr>
                <w:rFonts w:hint="default" w:ascii="Times New Roman" w:hAnsi="Times New Roman" w:cs="Times New Roman"/>
                <w:sz w:val="21"/>
                <w:szCs w:val="21"/>
              </w:rPr>
              <w:t>编制了《</w:t>
            </w:r>
            <w:r>
              <w:rPr>
                <w:rFonts w:hint="default" w:ascii="Times New Roman" w:hAnsi="Times New Roman" w:cs="Times New Roman"/>
                <w:sz w:val="21"/>
                <w:szCs w:val="21"/>
                <w:lang w:eastAsia="zh-CN"/>
              </w:rPr>
              <w:t>施工规范与工艺流程</w:t>
            </w:r>
            <w:r>
              <w:rPr>
                <w:rFonts w:hint="default" w:ascii="Times New Roman" w:hAnsi="Times New Roman" w:cs="Times New Roman"/>
                <w:sz w:val="21"/>
                <w:szCs w:val="21"/>
              </w:rPr>
              <w:t>》</w:t>
            </w:r>
            <w:r>
              <w:rPr>
                <w:rFonts w:hint="default" w:ascii="Times New Roman" w:hAnsi="Times New Roman" w:cs="Times New Roman"/>
                <w:sz w:val="21"/>
                <w:szCs w:val="21"/>
                <w:lang w:eastAsia="zh-CN"/>
              </w:rPr>
              <w:t>、《线缆敷设工艺要求》</w:t>
            </w:r>
            <w:r>
              <w:rPr>
                <w:rFonts w:hint="default" w:ascii="Times New Roman" w:hAnsi="Times New Roman" w:cs="Times New Roman"/>
                <w:sz w:val="21"/>
                <w:szCs w:val="21"/>
              </w:rPr>
              <w:t>、</w:t>
            </w:r>
            <w:r>
              <w:rPr>
                <w:rFonts w:hint="default" w:ascii="Times New Roman" w:hAnsi="Times New Roman" w:cs="Times New Roman"/>
                <w:sz w:val="21"/>
                <w:szCs w:val="21"/>
                <w:lang w:eastAsia="zh-CN"/>
              </w:rPr>
              <w:t>《安全生产责任制》、《安全防护、文明施工措施》，</w:t>
            </w:r>
            <w:r>
              <w:rPr>
                <w:rFonts w:hint="default" w:ascii="Times New Roman" w:hAnsi="Times New Roman" w:cs="Times New Roman"/>
                <w:sz w:val="21"/>
                <w:szCs w:val="21"/>
              </w:rPr>
              <w:t>对直接影响整体工程质量的方案设计阶段和各个过程、因素进行控制</w:t>
            </w:r>
            <w:r>
              <w:rPr>
                <w:rFonts w:hint="default" w:ascii="Times New Roman" w:hAnsi="Times New Roman" w:cs="Times New Roman"/>
                <w:sz w:val="21"/>
                <w:szCs w:val="21"/>
                <w:lang w:eastAsia="zh-CN"/>
              </w:rPr>
              <w:t>。</w:t>
            </w:r>
            <w:r>
              <w:rPr>
                <w:rFonts w:hint="default" w:ascii="Times New Roman" w:hAnsi="Times New Roman" w:cs="Times New Roman"/>
                <w:color w:val="auto"/>
                <w:kern w:val="2"/>
                <w:sz w:val="21"/>
                <w:szCs w:val="21"/>
                <w:lang w:val="en-GB" w:eastAsia="zh-CN" w:bidi="ar-SA"/>
              </w:rPr>
              <w:t>查看施工日志及在建项目施工情况，均按照要求进行操作，审核结论：</w:t>
            </w:r>
            <w:r>
              <w:rPr>
                <w:rFonts w:hint="default" w:ascii="Times New Roman" w:hAnsi="Times New Roman" w:cs="Times New Roman"/>
                <w:color w:val="auto"/>
                <w:kern w:val="2"/>
                <w:sz w:val="21"/>
                <w:szCs w:val="21"/>
                <w:lang w:val="en-US" w:eastAsia="zh-CN" w:bidi="ar-SA"/>
              </w:rPr>
              <w:t>施工过程控制符合要求。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GB"/>
              </w:rPr>
              <w:t>产品检验：分为原材料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color w:val="auto"/>
                <w:sz w:val="21"/>
                <w:szCs w:val="21"/>
                <w:lang w:val="en-GB"/>
              </w:rPr>
              <w:t>，原材料</w:t>
            </w:r>
            <w:r>
              <w:rPr>
                <w:rFonts w:hint="default" w:ascii="Times New Roman" w:hAnsi="Times New Roman" w:cs="Times New Roman"/>
                <w:color w:val="auto"/>
                <w:sz w:val="21"/>
                <w:szCs w:val="21"/>
                <w:lang w:val="en-GB" w:eastAsia="zh-CN"/>
              </w:rPr>
              <w:t>验证</w:t>
            </w:r>
            <w:r>
              <w:rPr>
                <w:rFonts w:hint="default" w:ascii="Times New Roman" w:hAnsi="Times New Roman" w:cs="Times New Roman"/>
                <w:color w:val="auto"/>
                <w:sz w:val="21"/>
                <w:szCs w:val="21"/>
                <w:lang w:val="en-GB"/>
              </w:rPr>
              <w:t>项目有</w:t>
            </w:r>
            <w:r>
              <w:rPr>
                <w:rFonts w:hint="default" w:ascii="Times New Roman" w:hAnsi="Times New Roman" w:cs="Times New Roman"/>
                <w:color w:val="auto"/>
                <w:sz w:val="21"/>
                <w:szCs w:val="21"/>
              </w:rPr>
              <w:t>数量</w:t>
            </w:r>
            <w:r>
              <w:rPr>
                <w:rFonts w:hint="default" w:ascii="Times New Roman" w:hAnsi="Times New Roman" w:cs="Times New Roman"/>
                <w:color w:val="auto"/>
                <w:sz w:val="21"/>
                <w:szCs w:val="21"/>
                <w:lang w:val="en-US" w:eastAsia="zh-CN"/>
              </w:rPr>
              <w:t>/规格/材质单</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eastAsia="zh-CN"/>
              </w:rPr>
              <w:t>分部工程由项目经理抽检</w:t>
            </w:r>
            <w:r>
              <w:rPr>
                <w:rFonts w:hint="default" w:ascii="Times New Roman" w:hAnsi="Times New Roman" w:cs="Times New Roman"/>
                <w:color w:val="auto"/>
                <w:sz w:val="21"/>
                <w:szCs w:val="21"/>
                <w:lang w:val="en-US" w:eastAsia="zh-CN"/>
              </w:rPr>
              <w:t>，</w:t>
            </w:r>
            <w:r>
              <w:rPr>
                <w:rFonts w:hint="default" w:ascii="Times New Roman" w:hAnsi="Times New Roman" w:cs="Times New Roman"/>
                <w:sz w:val="21"/>
                <w:szCs w:val="21"/>
                <w:lang w:eastAsia="zh-CN"/>
              </w:rPr>
              <w:t>经由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监理、建设单位验收后方进入下一分部工程</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GB"/>
              </w:rPr>
              <w:t>成品检验</w:t>
            </w:r>
            <w:r>
              <w:rPr>
                <w:rFonts w:hint="default" w:ascii="Times New Roman" w:hAnsi="Times New Roman" w:cs="Times New Roman"/>
                <w:color w:val="auto"/>
                <w:sz w:val="21"/>
                <w:szCs w:val="21"/>
                <w:lang w:val="en-GB" w:eastAsia="zh-CN"/>
              </w:rPr>
              <w:t>：</w:t>
            </w:r>
            <w:r>
              <w:rPr>
                <w:rFonts w:hint="default" w:ascii="Times New Roman" w:hAnsi="Times New Roman" w:cs="Times New Roman"/>
                <w:sz w:val="21"/>
                <w:szCs w:val="21"/>
                <w:lang w:eastAsia="zh-CN"/>
              </w:rPr>
              <w:t>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监理、建设单位验收出具</w:t>
            </w:r>
            <w:r>
              <w:rPr>
                <w:rFonts w:hint="default" w:ascii="Times New Roman" w:hAnsi="Times New Roman" w:cs="Times New Roman"/>
                <w:sz w:val="21"/>
                <w:szCs w:val="21"/>
              </w:rPr>
              <w:t>工程竣工报告</w:t>
            </w:r>
            <w:r>
              <w:rPr>
                <w:rFonts w:hint="default" w:ascii="Times New Roman" w:hAnsi="Times New Roman" w:cs="Times New Roman"/>
                <w:color w:val="auto"/>
                <w:sz w:val="21"/>
                <w:szCs w:val="21"/>
                <w:lang w:eastAsia="zh-CN"/>
              </w:rPr>
              <w:t>。</w:t>
            </w:r>
            <w:r>
              <w:rPr>
                <w:rFonts w:hint="default" w:ascii="Times New Roman" w:hAnsi="Times New Roman" w:cs="Times New Roman"/>
                <w:bCs/>
                <w:color w:val="auto"/>
                <w:sz w:val="21"/>
                <w:szCs w:val="21"/>
              </w:rPr>
              <w:t>提供</w:t>
            </w:r>
            <w:r>
              <w:rPr>
                <w:rFonts w:hint="default" w:ascii="Times New Roman" w:hAnsi="Times New Roman" w:cs="Times New Roman"/>
                <w:bCs/>
                <w:color w:val="auto"/>
                <w:sz w:val="21"/>
                <w:szCs w:val="21"/>
                <w:lang w:eastAsia="zh-CN"/>
              </w:rPr>
              <w:t>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bCs/>
                <w:color w:val="auto"/>
                <w:sz w:val="21"/>
                <w:szCs w:val="21"/>
              </w:rPr>
              <w:t>记录</w:t>
            </w:r>
            <w:r>
              <w:rPr>
                <w:rFonts w:hint="default" w:ascii="Times New Roman" w:hAnsi="Times New Roman" w:cs="Times New Roman"/>
                <w:bCs/>
                <w:color w:val="auto"/>
                <w:sz w:val="21"/>
                <w:szCs w:val="21"/>
                <w:lang w:eastAsia="zh-CN"/>
              </w:rPr>
              <w:t>。现场审核发现产品检验记录基本符合要求。</w:t>
            </w:r>
            <w:r>
              <w:rPr>
                <w:rFonts w:hint="default" w:ascii="Times New Roman" w:hAnsi="Times New Roman" w:cs="Times New Roman"/>
                <w:color w:val="auto"/>
                <w:sz w:val="21"/>
                <w:szCs w:val="21"/>
              </w:rPr>
              <w:t>审核结论：产品的监视测量过程控制符合要求</w:t>
            </w:r>
            <w:r>
              <w:rPr>
                <w:rFonts w:hint="default" w:ascii="Times New Roman" w:hAnsi="Times New Roman" w:cs="Times New Roman"/>
                <w:sz w:val="21"/>
                <w:szCs w:val="21"/>
              </w:rPr>
              <w:t>。</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1"/>
                <w:szCs w:val="21"/>
                <w:lang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.变更的控制：</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合同评审后，按合同要求进行</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并交付，如发现标的物与顾客要求不一致的，与客户商量，重新签订合同，交货期延期的，与顾客商量，得到顾客确认后，再及时</w:t>
            </w:r>
            <w:r>
              <w:rPr>
                <w:rFonts w:hint="default" w:ascii="Times New Roman" w:hAnsi="Times New Roman" w:cs="Times New Roman"/>
                <w:sz w:val="21"/>
                <w:szCs w:val="21"/>
                <w:lang w:val="en-US" w:eastAsia="zh-CN"/>
              </w:rPr>
              <w:t>调整</w:t>
            </w:r>
            <w:r>
              <w:rPr>
                <w:rFonts w:hint="default" w:ascii="Times New Roman" w:hAnsi="Times New Roman" w:cs="Times New Roman"/>
                <w:sz w:val="21"/>
                <w:szCs w:val="21"/>
              </w:rPr>
              <w:t>，并对延期的原因进行分析，避免下次再发生，经了解，目前没有</w:t>
            </w:r>
            <w:r>
              <w:rPr>
                <w:rFonts w:hint="eastAsia"/>
                <w:sz w:val="21"/>
                <w:szCs w:val="21"/>
              </w:rPr>
              <w:t>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11" w:firstLineChars="100"/>
              <w:textAlignment w:val="auto"/>
              <w:rPr>
                <w:rFonts w:hint="default"/>
                <w:b/>
                <w:color w:val="000000" w:themeColor="text1"/>
                <w:sz w:val="21"/>
                <w:szCs w:val="21"/>
                <w:lang w:val="en-US" w:eastAsia="zh-CN"/>
              </w:rPr>
            </w:pPr>
            <w:r>
              <w:rPr>
                <w:rFonts w:hint="eastAsia"/>
                <w:b/>
                <w:color w:val="000000" w:themeColor="text1"/>
                <w:sz w:val="21"/>
                <w:szCs w:val="21"/>
                <w:lang w:val="en-US" w:eastAsia="zh-CN"/>
              </w:rPr>
              <w:t>无</w:t>
            </w:r>
          </w:p>
          <w:p>
            <w:pPr>
              <w:keepNext w:val="0"/>
              <w:keepLines w:val="0"/>
              <w:pageBreakBefore w:val="0"/>
              <w:kinsoku/>
              <w:wordWrap/>
              <w:overflowPunct/>
              <w:topLinePunct w:val="0"/>
              <w:bidi w:val="0"/>
              <w:snapToGrid/>
              <w:spacing w:line="360" w:lineRule="exact"/>
              <w:ind w:firstLine="207" w:firstLineChars="98"/>
              <w:textAlignment w:val="auto"/>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GB"/>
              </w:rPr>
              <w:t>编制</w:t>
            </w:r>
            <w:r>
              <w:rPr>
                <w:rFonts w:hint="eastAsia"/>
                <w:sz w:val="21"/>
                <w:szCs w:val="21"/>
              </w:rPr>
              <w:t>环境因素识别与评价控制程序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提供有固废处置记录、相关方告知书及发放记录、劳保用品发放记录。抽相关方，未能提供对客户——</w:t>
            </w:r>
            <w:r>
              <w:rPr>
                <w:rFonts w:hint="eastAsia" w:ascii="方正仿宋简体" w:eastAsia="方正仿宋简体"/>
                <w:b w:val="0"/>
                <w:bCs/>
                <w:lang w:val="en-US" w:eastAsia="zh-CN"/>
              </w:rPr>
              <w:t>保定市指南针市场调查传播咨询有限公司</w:t>
            </w:r>
            <w:r>
              <w:rPr>
                <w:rFonts w:hint="eastAsia" w:ascii="方正仿宋简体" w:eastAsia="方正仿宋简体"/>
                <w:b w:val="0"/>
                <w:bCs/>
                <w:sz w:val="21"/>
                <w:szCs w:val="21"/>
                <w:lang w:val="en-US" w:eastAsia="zh-CN"/>
              </w:rPr>
              <w:t>施加影响的证据。</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1"/>
                <w:szCs w:val="21"/>
              </w:rPr>
            </w:pPr>
            <w:r>
              <w:rPr>
                <w:rFonts w:hint="eastAsia"/>
                <w:sz w:val="21"/>
                <w:szCs w:val="21"/>
                <w:lang w:val="en-GB"/>
              </w:rPr>
              <w:t>编制</w:t>
            </w:r>
            <w:r>
              <w:rPr>
                <w:rFonts w:hint="eastAsia"/>
                <w:sz w:val="21"/>
                <w:szCs w:val="21"/>
              </w:rPr>
              <w:t>危险源辩识与风险评价控制程序</w:t>
            </w:r>
            <w:r>
              <w:rPr>
                <w:rFonts w:hint="eastAsia"/>
                <w:sz w:val="21"/>
                <w:szCs w:val="21"/>
                <w:lang w:eastAsia="zh-CN"/>
              </w:rPr>
              <w:t>、</w:t>
            </w:r>
            <w:r>
              <w:rPr>
                <w:rFonts w:hint="eastAsia"/>
                <w:sz w:val="21"/>
                <w:szCs w:val="21"/>
                <w:lang w:val="en-GB"/>
              </w:rPr>
              <w:t>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高处坠落、车辆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但未能提供对客户——</w:t>
            </w:r>
            <w:r>
              <w:rPr>
                <w:rFonts w:hint="eastAsia" w:ascii="方正仿宋简体" w:eastAsia="方正仿宋简体"/>
                <w:b w:val="0"/>
                <w:bCs/>
                <w:lang w:val="en-US" w:eastAsia="zh-CN"/>
              </w:rPr>
              <w:t>保定市指南针市场调查传播咨询有限公司</w:t>
            </w:r>
            <w:r>
              <w:rPr>
                <w:rFonts w:hint="eastAsia" w:ascii="方正仿宋简体" w:eastAsia="方正仿宋简体"/>
                <w:b w:val="0"/>
                <w:bCs/>
                <w:sz w:val="21"/>
                <w:szCs w:val="21"/>
                <w:lang w:val="en-US" w:eastAsia="zh-CN"/>
              </w:rPr>
              <w:t>施加影响的证据。</w:t>
            </w:r>
            <w:r>
              <w:rPr>
                <w:rFonts w:hint="eastAsia"/>
                <w:sz w:val="21"/>
                <w:szCs w:val="21"/>
              </w:rPr>
              <w:t>查看办公区域干净整洁，配置灭火器等消防设施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201" w:hanging="211" w:hangingChars="100"/>
              <w:textAlignment w:val="auto"/>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1"/>
                <w:szCs w:val="21"/>
                <w:lang w:val="en-US"/>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6"/>
              </w:numPr>
              <w:kinsoku/>
              <w:wordWrap/>
              <w:overflowPunct/>
              <w:topLinePunct w:val="0"/>
              <w:bidi w:val="0"/>
              <w:snapToGrid/>
              <w:spacing w:line="360" w:lineRule="exact"/>
              <w:ind w:left="100" w:hanging="105" w:hangingChars="50"/>
              <w:textAlignment w:val="auto"/>
              <w:rPr>
                <w:rFonts w:hint="eastAsia"/>
                <w:b/>
                <w:color w:val="000000" w:themeColor="text1"/>
                <w:sz w:val="21"/>
                <w:szCs w:val="21"/>
              </w:rPr>
            </w:pPr>
            <w:r>
              <w:rPr>
                <w:rFonts w:hint="eastAsia"/>
                <w:b/>
                <w:color w:val="000000" w:themeColor="text1"/>
                <w:sz w:val="21"/>
                <w:szCs w:val="21"/>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rPr>
              <w:t>按照策划的安排于</w:t>
            </w:r>
            <w:r>
              <w:rPr>
                <w:sz w:val="21"/>
                <w:szCs w:val="21"/>
              </w:rPr>
              <w:t>201</w:t>
            </w:r>
            <w:r>
              <w:rPr>
                <w:rFonts w:hint="eastAsia"/>
                <w:sz w:val="21"/>
                <w:szCs w:val="21"/>
                <w:lang w:val="en-US" w:eastAsia="zh-CN"/>
              </w:rPr>
              <w:t>9年11月10-11日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按照策划的安排于</w:t>
            </w:r>
            <w:r>
              <w:rPr>
                <w:sz w:val="21"/>
                <w:szCs w:val="21"/>
              </w:rPr>
              <w:t>2019</w:t>
            </w:r>
            <w:r>
              <w:rPr>
                <w:rFonts w:hint="eastAsia" w:cs="宋体"/>
                <w:sz w:val="21"/>
                <w:szCs w:val="21"/>
              </w:rPr>
              <w:t>年</w:t>
            </w:r>
            <w:r>
              <w:rPr>
                <w:rFonts w:hint="eastAsia" w:cs="宋体"/>
                <w:sz w:val="21"/>
                <w:szCs w:val="21"/>
                <w:lang w:val="en-US" w:eastAsia="zh-CN"/>
              </w:rPr>
              <w:t>11</w:t>
            </w:r>
            <w:r>
              <w:rPr>
                <w:rFonts w:hint="eastAsia" w:cs="宋体"/>
                <w:sz w:val="21"/>
                <w:szCs w:val="21"/>
              </w:rPr>
              <w:t>月</w:t>
            </w:r>
            <w:r>
              <w:rPr>
                <w:rFonts w:hint="eastAsia" w:cs="宋体"/>
                <w:sz w:val="21"/>
                <w:szCs w:val="21"/>
                <w:lang w:val="en-US" w:eastAsia="zh-CN"/>
              </w:rPr>
              <w:t>2</w:t>
            </w:r>
            <w:r>
              <w:rPr>
                <w:rFonts w:hint="eastAsia"/>
                <w:sz w:val="21"/>
                <w:szCs w:val="21"/>
                <w:lang w:val="en-US" w:eastAsia="zh-CN"/>
              </w:rPr>
              <w:t>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val="0"/>
                <w:bCs/>
                <w:color w:val="000000" w:themeColor="text1"/>
                <w:sz w:val="21"/>
                <w:szCs w:val="21"/>
                <w:lang w:val="en-US" w:eastAsia="zh-CN"/>
              </w:rPr>
              <w:t>对员工进行了体检，显示合格。</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1"/>
                <w:szCs w:val="21"/>
              </w:rPr>
            </w:pPr>
            <w:r>
              <w:rPr>
                <w:rFonts w:hint="eastAsia"/>
                <w:b/>
                <w:color w:val="000000" w:themeColor="text1"/>
                <w:spacing w:val="-20"/>
                <w:sz w:val="21"/>
                <w:szCs w:val="21"/>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已改，符合要求。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积极开展新的服务模式。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ind w:left="0" w:leftChars="0" w:firstLine="0" w:firstLineChars="0"/>
              <w:textAlignment w:val="auto"/>
              <w:rPr>
                <w:rFonts w:hint="eastAsia"/>
                <w:b/>
                <w:color w:val="000000" w:themeColor="text1"/>
                <w:sz w:val="21"/>
                <w:szCs w:val="21"/>
              </w:rPr>
            </w:pPr>
            <w:r>
              <w:rPr>
                <w:rFonts w:hint="eastAsia"/>
                <w:b/>
                <w:color w:val="000000" w:themeColor="text1"/>
                <w:sz w:val="21"/>
                <w:szCs w:val="21"/>
              </w:rPr>
              <w:t>上次不符合的整改情况（再认证填写）</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 w:val="2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w:t>
      </w:r>
      <w:r>
        <w:rPr>
          <w:rFonts w:hint="eastAsia"/>
          <w:b/>
          <w:color w:val="000000" w:themeColor="text1"/>
        </w:rPr>
        <w:t>的GB/T19001-2016标准的</w:t>
      </w:r>
      <w:r>
        <w:rPr>
          <w:rFonts w:hint="eastAsia"/>
          <w:b/>
          <w:color w:val="000000" w:themeColor="text1"/>
          <w:lang w:val="en-US" w:eastAsia="zh-CN"/>
        </w:rPr>
        <w:t>8.2</w:t>
      </w:r>
      <w:r>
        <w:rPr>
          <w:rFonts w:hint="eastAsia"/>
          <w:b/>
          <w:color w:val="000000" w:themeColor="text1"/>
        </w:rPr>
        <w:t>.3条款，GB/T24001-2016标准的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ISO45001：2018</w:t>
      </w:r>
      <w:r>
        <w:rPr>
          <w:rFonts w:hint="eastAsia"/>
          <w:b/>
          <w:color w:val="000000" w:themeColor="text1"/>
        </w:rPr>
        <w:t>标准的</w:t>
      </w:r>
      <w:r>
        <w:rPr>
          <w:rFonts w:hint="eastAsia"/>
          <w:b/>
          <w:color w:val="000000" w:themeColor="text1"/>
          <w:lang w:val="en-US" w:eastAsia="zh-CN"/>
        </w:rPr>
        <w:t>8.1.1</w:t>
      </w:r>
      <w:r>
        <w:rPr>
          <w:rFonts w:hint="eastAsia"/>
          <w:b/>
          <w:color w:val="000000" w:themeColor="text1"/>
        </w:rPr>
        <w:t>条款，分布见附件。</w:t>
      </w:r>
    </w:p>
    <w:p>
      <w:pPr>
        <w:tabs>
          <w:tab w:val="left" w:pos="215"/>
          <w:tab w:val="left" w:pos="430"/>
        </w:tabs>
        <w:spacing w:line="360" w:lineRule="auto"/>
        <w:ind w:left="-190" w:leftChars="-472" w:hanging="801" w:hangingChars="380"/>
        <w:rPr>
          <w:rFonts w:hint="eastAsia"/>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keepNext w:val="0"/>
              <w:keepLines w:val="0"/>
              <w:pageBreakBefore w:val="0"/>
              <w:widowControl w:val="0"/>
              <w:kinsoku/>
              <w:wordWrap/>
              <w:overflowPunct/>
              <w:topLinePunct w:val="0"/>
              <w:bidi w:val="0"/>
              <w:spacing w:line="360" w:lineRule="exact"/>
              <w:ind w:left="220" w:leftChars="105" w:firstLine="0" w:firstLineChars="0"/>
              <w:textAlignment w:val="auto"/>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p>
          <w:p>
            <w:pPr>
              <w:pStyle w:val="17"/>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河北卓汉通信工程有限公司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pacing w:line="360" w:lineRule="exact"/>
              <w:textAlignment w:val="auto"/>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rPr>
              <w:t>2.对审核范围适宜性结论</w:t>
            </w:r>
          </w:p>
          <w:p>
            <w:pPr>
              <w:keepNext w:val="0"/>
              <w:keepLines w:val="0"/>
              <w:pageBreakBefore w:val="0"/>
              <w:widowControl w:val="0"/>
              <w:kinsoku/>
              <w:wordWrap/>
              <w:overflowPunct/>
              <w:topLinePunct w:val="0"/>
              <w:bidi w:val="0"/>
              <w:spacing w:line="360" w:lineRule="exact"/>
              <w:textAlignment w:val="auto"/>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keepNext w:val="0"/>
              <w:keepLines w:val="0"/>
              <w:pageBreakBefore w:val="0"/>
              <w:widowControl w:val="0"/>
              <w:kinsoku/>
              <w:wordWrap/>
              <w:overflowPunct/>
              <w:topLinePunct w:val="0"/>
              <w:bidi w:val="0"/>
              <w:spacing w:line="360" w:lineRule="exact"/>
              <w:textAlignment w:val="auto"/>
              <w:rPr>
                <w:b w:val="0"/>
                <w:bCs w:val="0"/>
                <w:sz w:val="21"/>
                <w:szCs w:val="21"/>
              </w:rPr>
            </w:pPr>
            <w:r>
              <w:rPr>
                <w:b w:val="0"/>
                <w:bCs w:val="0"/>
                <w:sz w:val="21"/>
                <w:szCs w:val="21"/>
              </w:rPr>
              <w:t>Q：</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w:t>
            </w:r>
          </w:p>
          <w:p>
            <w:pPr>
              <w:keepNext w:val="0"/>
              <w:keepLines w:val="0"/>
              <w:pageBreakBefore w:val="0"/>
              <w:widowControl w:val="0"/>
              <w:kinsoku/>
              <w:wordWrap/>
              <w:overflowPunct/>
              <w:topLinePunct w:val="0"/>
              <w:bidi w:val="0"/>
              <w:spacing w:line="360" w:lineRule="exact"/>
              <w:textAlignment w:val="auto"/>
              <w:rPr>
                <w:b w:val="0"/>
                <w:bCs w:val="0"/>
                <w:sz w:val="21"/>
                <w:szCs w:val="21"/>
              </w:rPr>
            </w:pPr>
            <w:r>
              <w:rPr>
                <w:b w:val="0"/>
                <w:bCs w:val="0"/>
                <w:sz w:val="21"/>
                <w:szCs w:val="21"/>
              </w:rPr>
              <w:t>E：</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lang w:val="en-US" w:eastAsia="zh-CN"/>
              </w:rPr>
            </w:pPr>
            <w:r>
              <w:rPr>
                <w:b w:val="0"/>
                <w:bCs w:val="0"/>
                <w:sz w:val="21"/>
                <w:szCs w:val="21"/>
              </w:rPr>
              <w:t>O：</w:t>
            </w:r>
            <w:r>
              <w:rPr>
                <w:rFonts w:hint="eastAsia"/>
                <w:b w:val="0"/>
                <w:bCs w:val="0"/>
                <w:sz w:val="21"/>
                <w:szCs w:val="21"/>
                <w:lang w:val="en-US" w:eastAsia="zh-CN"/>
              </w:rPr>
              <w:t>安防</w:t>
            </w:r>
            <w:r>
              <w:rPr>
                <w:b w:val="0"/>
                <w:bCs w:val="0"/>
                <w:sz w:val="21"/>
                <w:szCs w:val="21"/>
              </w:rPr>
              <w:t>信息系统集成服务，电子产品、通讯终端设备、计算机、软件及辅助设备的销售及其场所所涉及的职业健康安全管理活动</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b/>
          <w:color w:val="000000" w:themeColor="text1"/>
          <w:sz w:val="26"/>
          <w:szCs w:val="26"/>
        </w:rPr>
      </w:pP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rFonts w:hint="eastAsia" w:asciiTheme="minorEastAsia" w:hAnsiTheme="minorEastAsia" w:eastAsiaTheme="minorEastAsia"/>
          <w:b/>
          <w:color w:val="000000" w:themeColor="text1"/>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napToGrid w:val="0"/>
        <w:spacing w:line="360" w:lineRule="auto"/>
        <w:ind w:firstLine="4554" w:firstLineChars="2160"/>
        <w:rPr>
          <w:rFonts w:hint="eastAsia" w:asciiTheme="minorEastAsia" w:hAnsiTheme="minorEastAsia" w:eastAsiaTheme="minorEastAsia"/>
          <w:b/>
          <w:color w:val="000000" w:themeColor="text1"/>
        </w:rPr>
      </w:pP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)个严重不符合，验证</w:t>
      </w:r>
      <w:r>
        <w:rPr>
          <w:rFonts w:hint="eastAsia"/>
          <w:b/>
          <w:color w:val="000000" w:themeColor="text1"/>
          <w:spacing w:val="-10"/>
          <w:szCs w:val="21"/>
          <w:lang w:eastAsia="zh-CN"/>
        </w:rPr>
        <w:t>☑</w:t>
      </w:r>
      <w:r>
        <w:rPr>
          <w:rFonts w:hint="eastAsia"/>
          <w:b/>
          <w:color w:val="000000" w:themeColor="text1"/>
          <w:szCs w:val="21"/>
        </w:rPr>
        <w:t>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bookmarkStart w:id="5" w:name="_GoBack"/>
      <w:bookmarkEnd w:id="5"/>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3</w:t>
      </w:r>
      <w:r>
        <w:rPr>
          <w:rFonts w:hint="eastAsia"/>
          <w:b/>
          <w:color w:val="000000" w:themeColor="text1"/>
          <w:szCs w:val="21"/>
        </w:rPr>
        <w:t>月</w:t>
      </w:r>
      <w:r>
        <w:rPr>
          <w:rFonts w:hint="eastAsia"/>
          <w:b/>
          <w:color w:val="000000" w:themeColor="text1"/>
          <w:szCs w:val="21"/>
          <w:lang w:val="en-US" w:eastAsia="zh-CN"/>
        </w:rPr>
        <w:t xml:space="preserve">   29</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1E60AF5F"/>
    <w:multiLevelType w:val="singleLevel"/>
    <w:tmpl w:val="1E60AF5F"/>
    <w:lvl w:ilvl="0" w:tentative="0">
      <w:start w:val="6"/>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9">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40B2F27"/>
    <w:rsid w:val="16390561"/>
    <w:rsid w:val="1C440198"/>
    <w:rsid w:val="21611269"/>
    <w:rsid w:val="22DF6A1C"/>
    <w:rsid w:val="3AFE3AFE"/>
    <w:rsid w:val="3C6210A8"/>
    <w:rsid w:val="41311C61"/>
    <w:rsid w:val="4A927D7E"/>
    <w:rsid w:val="4B4A3A22"/>
    <w:rsid w:val="4EBE37BE"/>
    <w:rsid w:val="57A97EAC"/>
    <w:rsid w:val="58BD1AE1"/>
    <w:rsid w:val="5CDD1C2D"/>
    <w:rsid w:val="60F21181"/>
    <w:rsid w:val="6B5770F2"/>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7</TotalTime>
  <ScaleCrop>false</ScaleCrop>
  <LinksUpToDate>false</LinksUpToDate>
  <CharactersWithSpaces>9674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2020-03-29T03:06:45Z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