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Style w:val="7"/>
        <w:tblW w:w="10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1845"/>
        <w:gridCol w:w="248"/>
        <w:gridCol w:w="1252"/>
        <w:gridCol w:w="263"/>
        <w:gridCol w:w="204"/>
        <w:gridCol w:w="523"/>
        <w:gridCol w:w="390"/>
        <w:gridCol w:w="345"/>
        <w:gridCol w:w="480"/>
        <w:gridCol w:w="210"/>
        <w:gridCol w:w="795"/>
        <w:gridCol w:w="374"/>
        <w:gridCol w:w="916"/>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组织名称</w:t>
            </w:r>
          </w:p>
        </w:tc>
        <w:tc>
          <w:tcPr>
            <w:tcW w:w="3812" w:type="dxa"/>
            <w:gridSpan w:val="5"/>
            <w:vAlign w:val="center"/>
          </w:tcPr>
          <w:p>
            <w:pPr>
              <w:rPr>
                <w:rFonts w:ascii="宋体" w:cs="宋体"/>
                <w:bCs/>
                <w:sz w:val="24"/>
              </w:rPr>
            </w:pPr>
            <w:bookmarkStart w:id="0" w:name="组织名称"/>
            <w:r>
              <w:rPr>
                <w:rFonts w:ascii="宋体" w:cs="宋体"/>
                <w:bCs/>
                <w:sz w:val="24"/>
              </w:rPr>
              <w:t>陕西鑫联仪器仪表有限公司</w:t>
            </w:r>
            <w:bookmarkEnd w:id="0"/>
          </w:p>
        </w:tc>
        <w:tc>
          <w:tcPr>
            <w:tcW w:w="1948" w:type="dxa"/>
            <w:gridSpan w:val="5"/>
            <w:vAlign w:val="center"/>
          </w:tcPr>
          <w:p>
            <w:pPr>
              <w:jc w:val="center"/>
              <w:rPr>
                <w:rFonts w:ascii="宋体"/>
                <w:bCs/>
                <w:sz w:val="24"/>
              </w:rPr>
            </w:pPr>
            <w:r>
              <w:rPr>
                <w:rFonts w:hint="eastAsia" w:ascii="宋体" w:hAnsi="宋体"/>
                <w:bCs/>
                <w:sz w:val="24"/>
              </w:rPr>
              <w:t>认证合同号</w:t>
            </w:r>
          </w:p>
        </w:tc>
        <w:tc>
          <w:tcPr>
            <w:tcW w:w="3181" w:type="dxa"/>
            <w:gridSpan w:val="4"/>
            <w:vAlign w:val="center"/>
          </w:tcPr>
          <w:p>
            <w:pPr>
              <w:rPr>
                <w:rFonts w:ascii="宋体"/>
                <w:bCs/>
                <w:sz w:val="24"/>
              </w:rPr>
            </w:pPr>
            <w:bookmarkStart w:id="1" w:name="合同编号"/>
            <w:r>
              <w:rPr>
                <w:rFonts w:ascii="宋体"/>
                <w:bCs/>
                <w:sz w:val="24"/>
              </w:rPr>
              <w:t>0373-2021-QEO-2023</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注册地址</w:t>
            </w:r>
          </w:p>
        </w:tc>
        <w:tc>
          <w:tcPr>
            <w:tcW w:w="3812" w:type="dxa"/>
            <w:gridSpan w:val="5"/>
            <w:vMerge w:val="restart"/>
            <w:vAlign w:val="center"/>
          </w:tcPr>
          <w:p>
            <w:pPr>
              <w:spacing w:line="240" w:lineRule="atLeast"/>
              <w:jc w:val="left"/>
              <w:rPr>
                <w:rFonts w:ascii="宋体"/>
                <w:bCs/>
                <w:sz w:val="24"/>
              </w:rPr>
            </w:pPr>
            <w:bookmarkStart w:id="2" w:name="注册地址"/>
            <w:r>
              <w:rPr>
                <w:rFonts w:ascii="宋体"/>
                <w:bCs/>
                <w:sz w:val="24"/>
              </w:rPr>
              <w:t>陕西省西安市经开区凤城三路三号3幢1单元6层10602号</w:t>
            </w:r>
            <w:bookmarkEnd w:id="2"/>
          </w:p>
        </w:tc>
        <w:tc>
          <w:tcPr>
            <w:tcW w:w="913" w:type="dxa"/>
            <w:gridSpan w:val="2"/>
            <w:vMerge w:val="restart"/>
            <w:vAlign w:val="center"/>
          </w:tcPr>
          <w:p>
            <w:pPr>
              <w:jc w:val="center"/>
              <w:rPr>
                <w:rFonts w:ascii="宋体"/>
                <w:bCs/>
                <w:sz w:val="18"/>
                <w:szCs w:val="18"/>
              </w:rPr>
            </w:pPr>
            <w:r>
              <w:rPr>
                <w:rFonts w:hint="eastAsia" w:ascii="宋体" w:hAnsi="宋体"/>
                <w:bCs/>
                <w:sz w:val="18"/>
                <w:szCs w:val="18"/>
              </w:rPr>
              <w:t>法人</w:t>
            </w:r>
          </w:p>
        </w:tc>
        <w:tc>
          <w:tcPr>
            <w:tcW w:w="1035" w:type="dxa"/>
            <w:gridSpan w:val="3"/>
            <w:vMerge w:val="restart"/>
            <w:vAlign w:val="center"/>
          </w:tcPr>
          <w:p>
            <w:pPr>
              <w:jc w:val="center"/>
              <w:rPr>
                <w:bCs/>
                <w:sz w:val="18"/>
                <w:szCs w:val="18"/>
              </w:rPr>
            </w:pPr>
            <w:bookmarkStart w:id="3" w:name="法人"/>
            <w:r>
              <w:rPr>
                <w:bCs/>
                <w:sz w:val="18"/>
                <w:szCs w:val="18"/>
              </w:rPr>
              <w:t>赵新时</w:t>
            </w:r>
            <w:bookmarkEnd w:id="3"/>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381" w:type="dxa"/>
            <w:vMerge w:val="continue"/>
            <w:vAlign w:val="center"/>
          </w:tcPr>
          <w:p>
            <w:pPr>
              <w:jc w:val="center"/>
              <w:rPr>
                <w:bCs/>
                <w:sz w:val="24"/>
              </w:rPr>
            </w:pPr>
          </w:p>
        </w:tc>
        <w:tc>
          <w:tcPr>
            <w:tcW w:w="3812" w:type="dxa"/>
            <w:gridSpan w:val="5"/>
            <w:vMerge w:val="continue"/>
            <w:vAlign w:val="center"/>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生产/经营地址</w:t>
            </w:r>
          </w:p>
        </w:tc>
        <w:tc>
          <w:tcPr>
            <w:tcW w:w="3812" w:type="dxa"/>
            <w:gridSpan w:val="5"/>
            <w:vMerge w:val="restart"/>
            <w:vAlign w:val="center"/>
          </w:tcPr>
          <w:p>
            <w:pPr>
              <w:spacing w:line="240" w:lineRule="atLeast"/>
              <w:jc w:val="left"/>
              <w:rPr>
                <w:rFonts w:ascii="宋体"/>
                <w:bCs/>
                <w:sz w:val="24"/>
              </w:rPr>
            </w:pPr>
            <w:bookmarkStart w:id="4" w:name="生产地址"/>
            <w:r>
              <w:rPr>
                <w:rFonts w:ascii="宋体"/>
                <w:bCs/>
                <w:sz w:val="24"/>
              </w:rPr>
              <w:t>陕西省西安市莲湖区未央路12号世纪金园B座1904</w:t>
            </w:r>
            <w:bookmarkEnd w:id="4"/>
          </w:p>
        </w:tc>
        <w:tc>
          <w:tcPr>
            <w:tcW w:w="913" w:type="dxa"/>
            <w:gridSpan w:val="2"/>
            <w:vMerge w:val="restart"/>
            <w:vAlign w:val="center"/>
          </w:tcPr>
          <w:p>
            <w:pPr>
              <w:jc w:val="center"/>
              <w:rPr>
                <w:rFonts w:ascii="宋体"/>
                <w:bCs/>
                <w:sz w:val="18"/>
                <w:szCs w:val="18"/>
              </w:rPr>
            </w:pPr>
            <w:r>
              <w:rPr>
                <w:rFonts w:hint="eastAsia" w:ascii="宋体" w:hAnsi="宋体"/>
                <w:bCs/>
                <w:sz w:val="18"/>
                <w:szCs w:val="18"/>
              </w:rPr>
              <w:t>联系人</w:t>
            </w:r>
          </w:p>
        </w:tc>
        <w:tc>
          <w:tcPr>
            <w:tcW w:w="1035" w:type="dxa"/>
            <w:gridSpan w:val="3"/>
            <w:vMerge w:val="restart"/>
            <w:vAlign w:val="center"/>
          </w:tcPr>
          <w:p>
            <w:pPr>
              <w:jc w:val="center"/>
              <w:rPr>
                <w:bCs/>
                <w:sz w:val="18"/>
                <w:szCs w:val="18"/>
              </w:rPr>
            </w:pPr>
            <w:bookmarkStart w:id="5" w:name="联系人"/>
            <w:r>
              <w:rPr>
                <w:bCs/>
                <w:sz w:val="18"/>
                <w:szCs w:val="18"/>
              </w:rPr>
              <w:t>杨秧</w:t>
            </w:r>
            <w:bookmarkEnd w:id="5"/>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bookmarkStart w:id="6" w:name="联系人电话"/>
            <w:r>
              <w:rPr>
                <w:rFonts w:ascii="宋体"/>
                <w:bCs/>
                <w:sz w:val="24"/>
              </w:rPr>
              <w:t>029-86295051</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1" w:type="dxa"/>
            <w:vMerge w:val="continue"/>
            <w:vAlign w:val="center"/>
          </w:tcPr>
          <w:p>
            <w:pPr>
              <w:jc w:val="center"/>
              <w:rPr>
                <w:bCs/>
                <w:sz w:val="24"/>
              </w:rPr>
            </w:pPr>
          </w:p>
        </w:tc>
        <w:tc>
          <w:tcPr>
            <w:tcW w:w="3812" w:type="dxa"/>
            <w:gridSpan w:val="5"/>
            <w:vMerge w:val="continue"/>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bookmarkStart w:id="7" w:name="联系人手机"/>
            <w:r>
              <w:rPr>
                <w:rFonts w:ascii="宋体"/>
                <w:bCs/>
                <w:sz w:val="24"/>
              </w:rPr>
              <w:t>18702910764</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认证领域</w:t>
            </w:r>
          </w:p>
        </w:tc>
        <w:tc>
          <w:tcPr>
            <w:tcW w:w="8941" w:type="dxa"/>
            <w:gridSpan w:val="14"/>
            <w:vAlign w:val="center"/>
          </w:tcPr>
          <w:p>
            <w:pPr>
              <w:rPr>
                <w:rFonts w:ascii="宋体" w:hAnsi="宋体"/>
                <w:bCs/>
                <w:sz w:val="24"/>
              </w:rPr>
            </w:pPr>
            <w:bookmarkStart w:id="8" w:name="审核类别"/>
            <w:bookmarkEnd w:id="8"/>
            <w:bookmarkStart w:id="9" w:name="认证领域"/>
            <w:r>
              <w:rPr>
                <w:rFonts w:ascii="宋体" w:hAnsi="宋体"/>
                <w:bCs/>
                <w:sz w:val="24"/>
              </w:rPr>
              <w:t>质量管理体系,环境管理体系,职业健康安全管理体系</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81" w:type="dxa"/>
            <w:vAlign w:val="center"/>
          </w:tcPr>
          <w:p>
            <w:pPr>
              <w:jc w:val="center"/>
              <w:rPr>
                <w:bCs/>
                <w:sz w:val="24"/>
              </w:rPr>
            </w:pPr>
            <w:r>
              <w:rPr>
                <w:rFonts w:hint="eastAsia"/>
                <w:bCs/>
                <w:sz w:val="24"/>
              </w:rPr>
              <w:t>依据标准</w:t>
            </w:r>
          </w:p>
        </w:tc>
        <w:tc>
          <w:tcPr>
            <w:tcW w:w="8941" w:type="dxa"/>
            <w:gridSpan w:val="14"/>
          </w:tcPr>
          <w:p>
            <w:pPr>
              <w:rPr>
                <w:rFonts w:ascii="宋体" w:cs="宋体"/>
                <w:bCs/>
                <w:sz w:val="24"/>
              </w:rPr>
            </w:pPr>
            <w:bookmarkStart w:id="10" w:name="审核依据"/>
            <w:r>
              <w:rPr>
                <w:rFonts w:ascii="宋体" w:cs="宋体"/>
                <w:bCs/>
                <w:sz w:val="24"/>
              </w:rPr>
              <w:t>Q：GB/T19001-2016/ISO9001:2015,E：GB/T 24001-2016/ISO14001:2015,O：GB/T45001-2020 / ISO45001：2018</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认证范围</w:t>
            </w:r>
          </w:p>
        </w:tc>
        <w:tc>
          <w:tcPr>
            <w:tcW w:w="8941" w:type="dxa"/>
            <w:gridSpan w:val="14"/>
            <w:vAlign w:val="center"/>
          </w:tcPr>
          <w:p>
            <w:pPr>
              <w:rPr>
                <w:rFonts w:ascii="宋体"/>
                <w:bCs/>
                <w:sz w:val="24"/>
              </w:rPr>
            </w:pPr>
            <w:bookmarkStart w:id="11" w:name="审核范围"/>
            <w:r>
              <w:rPr>
                <w:rFonts w:ascii="宋体"/>
                <w:bCs/>
                <w:sz w:val="24"/>
              </w:rPr>
              <w:t>Q：自动化仪器仪表及附属装置（螺旋(双)转子流量计、普通电磁流量计、楔形流量计、三转子流量计、指示型转子流量计、螺旋单转子流量计、智能控制注水仪、金属刮板流量计、旋进漩涡气体流量计、质量流量计、孔板流量计、过滤器、含水分析仪、氧化锆氧量分析器、仪器仪表配件）和资质范围内的压力容器的生产、销售，售后及其技术咨询、技术服务和仪器仪表的维修</w:t>
            </w:r>
          </w:p>
          <w:p>
            <w:pPr>
              <w:rPr>
                <w:rFonts w:ascii="宋体"/>
                <w:bCs/>
                <w:sz w:val="24"/>
              </w:rPr>
            </w:pPr>
            <w:r>
              <w:rPr>
                <w:rFonts w:ascii="宋体"/>
                <w:bCs/>
                <w:sz w:val="24"/>
              </w:rPr>
              <w:t>E：自动化仪器仪表及附属装置（螺旋(双)转子流量计、普通电磁流量计、楔形流量计、三转子流量计、指示型转子流量计、螺旋单转子流量计、智能控制注水仪、金属刮板流量计、旋进漩涡气体流量计、质量流量计、孔板流量计、过滤器、含水分析仪、氧化锆氧量分析器、仪器仪表配件）和资质范围内的压力容器的生产、销售，售后及其技术咨询、技术服务和仪器仪表的维修所涉及场所的相关环境管理活动</w:t>
            </w:r>
          </w:p>
          <w:p>
            <w:pPr>
              <w:rPr>
                <w:rFonts w:ascii="宋体"/>
                <w:bCs/>
                <w:sz w:val="24"/>
              </w:rPr>
            </w:pPr>
            <w:r>
              <w:rPr>
                <w:rFonts w:ascii="宋体"/>
                <w:bCs/>
                <w:sz w:val="24"/>
              </w:rPr>
              <w:t>O：自动化仪器仪表及附属装置（螺旋(双)转子流量计、普通电磁流量计、楔形流量计、三转子流量计、指示型转子流量计、螺旋单转子流量计、智能控制注水仪、金属刮板流量计、旋进漩涡气体流量计、质量流量计、孔板流量计、过滤器、含水分析仪、氧化锆氧量分析器、仪器仪表配件）和资质范围内的压力容器的生产、销售，售后及其技术咨询、技术服务和仪器仪表的维修所涉及场所的相关职业健康安全管理活动</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是否在</w:t>
            </w:r>
          </w:p>
          <w:p>
            <w:pPr>
              <w:spacing w:line="240" w:lineRule="atLeast"/>
              <w:jc w:val="center"/>
              <w:rPr>
                <w:bCs/>
                <w:sz w:val="24"/>
              </w:rPr>
            </w:pPr>
            <w:r>
              <w:rPr>
                <w:rFonts w:hint="eastAsia"/>
                <w:bCs/>
                <w:sz w:val="24"/>
              </w:rPr>
              <w:t>认可范围</w:t>
            </w:r>
          </w:p>
        </w:tc>
        <w:tc>
          <w:tcPr>
            <w:tcW w:w="2093" w:type="dxa"/>
            <w:gridSpan w:val="2"/>
            <w:vAlign w:val="center"/>
          </w:tcPr>
          <w:p>
            <w:pPr>
              <w:rPr>
                <w:rFonts w:ascii="宋体"/>
                <w:bCs/>
                <w:sz w:val="24"/>
              </w:rPr>
            </w:pPr>
            <w:r>
              <w:rPr>
                <w:rFonts w:ascii="宋体"/>
                <w:bCs/>
                <w:sz w:val="24"/>
              </w:rPr>
              <w:t>否</w:t>
            </w:r>
          </w:p>
        </w:tc>
        <w:tc>
          <w:tcPr>
            <w:tcW w:w="1515" w:type="dxa"/>
            <w:gridSpan w:val="2"/>
            <w:vAlign w:val="center"/>
          </w:tcPr>
          <w:p>
            <w:pPr>
              <w:rPr>
                <w:rFonts w:ascii="宋体"/>
                <w:bCs/>
                <w:sz w:val="24"/>
              </w:rPr>
            </w:pPr>
            <w:r>
              <w:rPr>
                <w:rFonts w:hint="eastAsia"/>
                <w:bCs/>
                <w:sz w:val="24"/>
              </w:rPr>
              <w:t>不适用条款</w:t>
            </w:r>
          </w:p>
        </w:tc>
        <w:tc>
          <w:tcPr>
            <w:tcW w:w="1462" w:type="dxa"/>
            <w:gridSpan w:val="4"/>
            <w:vAlign w:val="center"/>
          </w:tcPr>
          <w:p>
            <w:pPr>
              <w:rPr>
                <w:bCs/>
                <w:sz w:val="24"/>
              </w:rPr>
            </w:pPr>
            <w:bookmarkStart w:id="12" w:name="删减条约"/>
            <w:bookmarkEnd w:id="12"/>
          </w:p>
        </w:tc>
        <w:tc>
          <w:tcPr>
            <w:tcW w:w="1859" w:type="dxa"/>
            <w:gridSpan w:val="4"/>
            <w:vAlign w:val="center"/>
          </w:tcPr>
          <w:p>
            <w:pPr>
              <w:jc w:val="center"/>
              <w:rPr>
                <w:bCs/>
                <w:sz w:val="24"/>
              </w:rPr>
            </w:pPr>
            <w:r>
              <w:rPr>
                <w:rFonts w:hint="eastAsia" w:ascii="宋体" w:hAnsi="宋体"/>
                <w:bCs/>
                <w:sz w:val="24"/>
              </w:rPr>
              <w:t>专业代码</w:t>
            </w:r>
          </w:p>
        </w:tc>
        <w:tc>
          <w:tcPr>
            <w:tcW w:w="2012" w:type="dxa"/>
            <w:gridSpan w:val="2"/>
            <w:vAlign w:val="center"/>
          </w:tcPr>
          <w:p>
            <w:pPr>
              <w:rPr>
                <w:bCs/>
                <w:sz w:val="24"/>
              </w:rPr>
            </w:pPr>
            <w:bookmarkStart w:id="13" w:name="专业代码"/>
            <w:r>
              <w:rPr>
                <w:bCs/>
                <w:sz w:val="24"/>
              </w:rPr>
              <w:t>Q：17.07.02;19.05.01;19.16.00</w:t>
            </w:r>
          </w:p>
          <w:p>
            <w:pPr>
              <w:rPr>
                <w:bCs/>
                <w:sz w:val="24"/>
              </w:rPr>
            </w:pPr>
            <w:r>
              <w:rPr>
                <w:bCs/>
                <w:sz w:val="24"/>
              </w:rPr>
              <w:t>E：17.07.02;19.05.01;19.16.00</w:t>
            </w:r>
          </w:p>
          <w:p>
            <w:pPr>
              <w:rPr>
                <w:bCs/>
                <w:sz w:val="24"/>
              </w:rPr>
            </w:pPr>
            <w:r>
              <w:rPr>
                <w:bCs/>
                <w:sz w:val="24"/>
              </w:rPr>
              <w:t>O：17.07.02;19.05.01;19.16.00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381" w:type="dxa"/>
            <w:vAlign w:val="center"/>
          </w:tcPr>
          <w:p>
            <w:pPr>
              <w:rPr>
                <w:rFonts w:ascii="宋体"/>
                <w:bCs/>
                <w:sz w:val="24"/>
              </w:rPr>
            </w:pPr>
            <w:r>
              <w:rPr>
                <w:rFonts w:hint="eastAsia" w:ascii="宋体"/>
                <w:bCs/>
                <w:sz w:val="24"/>
              </w:rPr>
              <w:t>风险等级</w:t>
            </w:r>
          </w:p>
        </w:tc>
        <w:tc>
          <w:tcPr>
            <w:tcW w:w="8941" w:type="dxa"/>
            <w:gridSpan w:val="14"/>
            <w:vAlign w:val="center"/>
          </w:tcPr>
          <w:p>
            <w:pP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多场所情况</w:t>
            </w:r>
          </w:p>
        </w:tc>
        <w:tc>
          <w:tcPr>
            <w:tcW w:w="5070" w:type="dxa"/>
            <w:gridSpan w:val="8"/>
            <w:vAlign w:val="center"/>
          </w:tcPr>
          <w:p>
            <w:pPr>
              <w:spacing w:before="156" w:line="240" w:lineRule="exact"/>
              <w:rPr>
                <w:rFonts w:ascii="宋体"/>
                <w:bCs/>
                <w:sz w:val="24"/>
              </w:rPr>
            </w:pPr>
          </w:p>
        </w:tc>
        <w:tc>
          <w:tcPr>
            <w:tcW w:w="1859" w:type="dxa"/>
            <w:gridSpan w:val="4"/>
            <w:vAlign w:val="center"/>
          </w:tcPr>
          <w:p>
            <w:pPr>
              <w:spacing w:before="156" w:line="240" w:lineRule="exact"/>
              <w:jc w:val="center"/>
              <w:rPr>
                <w:rFonts w:ascii="宋体"/>
                <w:bCs/>
                <w:sz w:val="24"/>
              </w:rPr>
            </w:pPr>
            <w:r>
              <w:rPr>
                <w:rFonts w:hint="eastAsia" w:ascii="宋体" w:hAnsi="宋体"/>
                <w:bCs/>
                <w:sz w:val="24"/>
              </w:rPr>
              <w:t>体系结合度</w:t>
            </w:r>
          </w:p>
        </w:tc>
        <w:tc>
          <w:tcPr>
            <w:tcW w:w="2012" w:type="dxa"/>
            <w:gridSpan w:val="2"/>
            <w:vAlign w:val="center"/>
          </w:tcPr>
          <w:p>
            <w:pPr>
              <w:spacing w:before="156" w:line="240" w:lineRule="exact"/>
              <w:jc w:val="lef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1" w:type="dxa"/>
            <w:vAlign w:val="center"/>
          </w:tcPr>
          <w:p>
            <w:pPr>
              <w:jc w:val="center"/>
              <w:rPr>
                <w:bCs/>
                <w:sz w:val="24"/>
              </w:rPr>
            </w:pPr>
            <w:r>
              <w:rPr>
                <w:rFonts w:hint="eastAsia"/>
                <w:bCs/>
                <w:sz w:val="24"/>
              </w:rPr>
              <w:t>多场所抽</w:t>
            </w:r>
          </w:p>
          <w:p>
            <w:pPr>
              <w:ind w:firstLine="310"/>
              <w:rPr>
                <w:bCs/>
                <w:sz w:val="24"/>
              </w:rPr>
            </w:pPr>
            <w:r>
              <w:rPr>
                <w:rFonts w:hint="eastAsia"/>
                <w:bCs/>
                <w:sz w:val="24"/>
              </w:rPr>
              <w:t>样及说明</w:t>
            </w:r>
          </w:p>
        </w:tc>
        <w:tc>
          <w:tcPr>
            <w:tcW w:w="8941" w:type="dxa"/>
            <w:gridSpan w:val="14"/>
            <w:vAlign w:val="center"/>
          </w:tcPr>
          <w:p>
            <w:pPr>
              <w:spacing w:before="156" w:line="24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381" w:type="dxa"/>
            <w:vAlign w:val="center"/>
          </w:tcPr>
          <w:p>
            <w:pPr>
              <w:jc w:val="center"/>
              <w:rPr>
                <w:bCs/>
                <w:szCs w:val="21"/>
              </w:rPr>
            </w:pPr>
            <w:r>
              <w:rPr>
                <w:rFonts w:hint="eastAsia"/>
                <w:bCs/>
                <w:szCs w:val="21"/>
              </w:rPr>
              <w:t>是否存在</w:t>
            </w:r>
          </w:p>
          <w:p>
            <w:pPr>
              <w:jc w:val="center"/>
              <w:rPr>
                <w:bCs/>
                <w:sz w:val="24"/>
              </w:rPr>
            </w:pPr>
            <w:r>
              <w:rPr>
                <w:rFonts w:hint="eastAsia"/>
                <w:bCs/>
                <w:szCs w:val="21"/>
              </w:rPr>
              <w:t>临时场所</w:t>
            </w:r>
          </w:p>
        </w:tc>
        <w:tc>
          <w:tcPr>
            <w:tcW w:w="1845" w:type="dxa"/>
            <w:vAlign w:val="center"/>
          </w:tcPr>
          <w:p>
            <w:pPr>
              <w:spacing w:before="156" w:line="240" w:lineRule="exact"/>
              <w:rPr>
                <w:rFonts w:ascii="宋体"/>
                <w:bCs/>
                <w:szCs w:val="21"/>
              </w:rPr>
            </w:pPr>
            <w:r>
              <w:rPr>
                <w:rFonts w:hint="eastAsia" w:ascii="宋体" w:hAnsi="宋体" w:cs="宋体"/>
                <w:bCs/>
                <w:szCs w:val="21"/>
              </w:rPr>
              <w:t>■</w:t>
            </w:r>
            <w:r>
              <w:rPr>
                <w:rFonts w:hint="eastAsia" w:ascii="宋体" w:hAnsi="宋体"/>
                <w:bCs/>
                <w:szCs w:val="21"/>
              </w:rPr>
              <w:t>不存在</w:t>
            </w:r>
            <w:bookmarkStart w:id="14" w:name="OLE_LINK3"/>
          </w:p>
          <w:p>
            <w:pPr>
              <w:spacing w:before="156" w:line="240" w:lineRule="exact"/>
              <w:rPr>
                <w:rFonts w:ascii="宋体"/>
                <w:bCs/>
                <w:szCs w:val="21"/>
              </w:rPr>
            </w:pPr>
            <w:r>
              <w:rPr>
                <w:rFonts w:hint="eastAsia" w:ascii="宋体" w:hAnsi="宋体"/>
                <w:bCs/>
                <w:szCs w:val="21"/>
              </w:rPr>
              <w:t>□</w:t>
            </w:r>
            <w:bookmarkEnd w:id="14"/>
            <w:r>
              <w:rPr>
                <w:rFonts w:hint="eastAsia" w:ascii="宋体" w:hAnsi="宋体"/>
                <w:bCs/>
                <w:szCs w:val="21"/>
              </w:rPr>
              <w:t>存在：个</w:t>
            </w:r>
          </w:p>
        </w:tc>
        <w:tc>
          <w:tcPr>
            <w:tcW w:w="1500" w:type="dxa"/>
            <w:gridSpan w:val="2"/>
            <w:vAlign w:val="center"/>
          </w:tcPr>
          <w:p>
            <w:pPr>
              <w:jc w:val="center"/>
              <w:rPr>
                <w:bCs/>
                <w:szCs w:val="21"/>
              </w:rPr>
            </w:pPr>
            <w:r>
              <w:rPr>
                <w:rFonts w:hint="eastAsia"/>
                <w:bCs/>
                <w:szCs w:val="21"/>
              </w:rPr>
              <w:t>是否存在外包</w:t>
            </w:r>
          </w:p>
          <w:p>
            <w:pPr>
              <w:jc w:val="center"/>
              <w:rPr>
                <w:rFonts w:ascii="宋体"/>
                <w:bCs/>
                <w:szCs w:val="21"/>
              </w:rPr>
            </w:pPr>
            <w:r>
              <w:rPr>
                <w:rFonts w:hint="eastAsia"/>
                <w:bCs/>
                <w:szCs w:val="21"/>
              </w:rPr>
              <w:t>过程及活动</w:t>
            </w:r>
          </w:p>
        </w:tc>
        <w:tc>
          <w:tcPr>
            <w:tcW w:w="990" w:type="dxa"/>
            <w:gridSpan w:val="3"/>
            <w:vAlign w:val="center"/>
          </w:tcPr>
          <w:p>
            <w:pPr>
              <w:spacing w:before="156" w:line="240" w:lineRule="exact"/>
              <w:jc w:val="left"/>
              <w:rPr>
                <w:rFonts w:ascii="宋体"/>
                <w:bCs/>
                <w:szCs w:val="21"/>
              </w:rPr>
            </w:pPr>
            <w:r>
              <w:rPr>
                <w:rFonts w:hint="eastAsia" w:ascii="宋体" w:hAnsi="宋体" w:cs="宋体"/>
                <w:bCs/>
                <w:szCs w:val="21"/>
              </w:rPr>
              <w:t>■</w:t>
            </w:r>
            <w:r>
              <w:rPr>
                <w:rFonts w:hint="eastAsia" w:ascii="宋体" w:hAnsi="宋体"/>
                <w:bCs/>
                <w:szCs w:val="21"/>
              </w:rPr>
              <w:t>否</w:t>
            </w:r>
          </w:p>
          <w:p>
            <w:pPr>
              <w:spacing w:before="156" w:line="240" w:lineRule="exact"/>
              <w:jc w:val="left"/>
              <w:rPr>
                <w:rFonts w:ascii="宋体"/>
                <w:bCs/>
                <w:szCs w:val="21"/>
              </w:rPr>
            </w:pPr>
            <w:bookmarkStart w:id="15" w:name="OLE_LINK10"/>
            <w:r>
              <w:rPr>
                <w:rFonts w:hint="eastAsia" w:ascii="宋体" w:hAnsi="宋体"/>
                <w:bCs/>
                <w:szCs w:val="21"/>
              </w:rPr>
              <w:t>□</w:t>
            </w:r>
            <w:bookmarkEnd w:id="15"/>
            <w:r>
              <w:rPr>
                <w:rFonts w:hint="eastAsia" w:ascii="宋体" w:hAnsi="宋体"/>
                <w:bCs/>
                <w:szCs w:val="21"/>
              </w:rPr>
              <w:t>是</w:t>
            </w:r>
          </w:p>
        </w:tc>
        <w:tc>
          <w:tcPr>
            <w:tcW w:w="1215" w:type="dxa"/>
            <w:gridSpan w:val="3"/>
            <w:vAlign w:val="center"/>
          </w:tcPr>
          <w:p>
            <w:pPr>
              <w:spacing w:before="156" w:line="240" w:lineRule="exact"/>
              <w:jc w:val="left"/>
              <w:rPr>
                <w:rFonts w:ascii="宋体"/>
                <w:bCs/>
                <w:szCs w:val="21"/>
              </w:rPr>
            </w:pPr>
            <w:r>
              <w:rPr>
                <w:rFonts w:hint="eastAsia" w:ascii="宋体"/>
                <w:bCs/>
                <w:szCs w:val="21"/>
              </w:rPr>
              <w:t>企业人数</w:t>
            </w:r>
          </w:p>
        </w:tc>
        <w:tc>
          <w:tcPr>
            <w:tcW w:w="1005" w:type="dxa"/>
            <w:gridSpan w:val="2"/>
            <w:vAlign w:val="center"/>
          </w:tcPr>
          <w:p>
            <w:pPr>
              <w:spacing w:before="156" w:line="240" w:lineRule="exact"/>
              <w:jc w:val="left"/>
              <w:rPr>
                <w:rFonts w:ascii="宋体"/>
                <w:bCs/>
                <w:szCs w:val="21"/>
              </w:rPr>
            </w:pPr>
            <w:bookmarkStart w:id="16" w:name="企业人数"/>
            <w:r>
              <w:rPr>
                <w:rFonts w:ascii="宋体"/>
                <w:bCs/>
                <w:szCs w:val="21"/>
              </w:rPr>
              <w:t>20</w:t>
            </w:r>
            <w:bookmarkEnd w:id="16"/>
          </w:p>
        </w:tc>
        <w:tc>
          <w:tcPr>
            <w:tcW w:w="1290" w:type="dxa"/>
            <w:gridSpan w:val="2"/>
            <w:vAlign w:val="center"/>
          </w:tcPr>
          <w:p>
            <w:pPr>
              <w:spacing w:before="156" w:line="240" w:lineRule="exact"/>
              <w:jc w:val="left"/>
              <w:rPr>
                <w:rFonts w:ascii="宋体"/>
                <w:bCs/>
                <w:szCs w:val="21"/>
              </w:rPr>
            </w:pPr>
            <w:r>
              <w:rPr>
                <w:rFonts w:hint="eastAsia" w:ascii="宋体" w:hAnsi="宋体"/>
                <w:bCs/>
                <w:szCs w:val="21"/>
              </w:rPr>
              <w:t>体系范围内覆盖人数</w:t>
            </w:r>
          </w:p>
        </w:tc>
        <w:tc>
          <w:tcPr>
            <w:tcW w:w="1096" w:type="dxa"/>
            <w:vAlign w:val="center"/>
          </w:tcPr>
          <w:p>
            <w:pPr>
              <w:spacing w:before="156" w:line="240" w:lineRule="exact"/>
              <w:jc w:val="left"/>
              <w:rPr>
                <w:rFonts w:ascii="宋体"/>
                <w:bCs/>
                <w:szCs w:val="21"/>
              </w:rPr>
            </w:pPr>
            <w:bookmarkStart w:id="17" w:name="体系人数"/>
            <w:r>
              <w:rPr>
                <w:rFonts w:ascii="宋体"/>
                <w:bCs/>
                <w:szCs w:val="21"/>
              </w:rPr>
              <w:t>Q:20,E:20,O:20</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1381" w:type="dxa"/>
            <w:vAlign w:val="center"/>
          </w:tcPr>
          <w:p>
            <w:pPr>
              <w:jc w:val="center"/>
              <w:rPr>
                <w:bCs/>
                <w:sz w:val="24"/>
              </w:rPr>
            </w:pPr>
            <w:r>
              <w:rPr>
                <w:rFonts w:hint="eastAsia"/>
                <w:bCs/>
                <w:sz w:val="24"/>
              </w:rPr>
              <w:t>审核方案实施情况</w:t>
            </w:r>
          </w:p>
        </w:tc>
        <w:tc>
          <w:tcPr>
            <w:tcW w:w="8941" w:type="dxa"/>
            <w:gridSpan w:val="14"/>
            <w:vAlign w:val="center"/>
          </w:tcPr>
          <w:p>
            <w:pPr>
              <w:rPr>
                <w:rFonts w:ascii="宋体" w:hAnsi="宋体" w:cs="宋体"/>
                <w:bCs/>
                <w:sz w:val="24"/>
              </w:rPr>
            </w:pPr>
            <w:r>
              <w:rPr>
                <w:rFonts w:hint="eastAsia" w:ascii="宋体" w:hAnsi="宋体" w:cs="宋体"/>
                <w:bCs/>
                <w:sz w:val="24"/>
              </w:rPr>
              <w:t>第一阶段：现场审核    人/日</w:t>
            </w:r>
          </w:p>
          <w:p>
            <w:pPr>
              <w:rPr>
                <w:rFonts w:ascii="宋体" w:hAnsi="宋体" w:cs="宋体"/>
                <w:bCs/>
                <w:sz w:val="24"/>
              </w:rPr>
            </w:pPr>
          </w:p>
          <w:p>
            <w:pPr>
              <w:rPr>
                <w:rFonts w:ascii="宋体" w:hAnsi="宋体" w:cs="宋体"/>
                <w:bCs/>
                <w:sz w:val="24"/>
              </w:rPr>
            </w:pPr>
            <w:r>
              <w:rPr>
                <w:rFonts w:hint="eastAsia" w:ascii="宋体" w:hAnsi="宋体" w:cs="宋体"/>
                <w:bCs/>
                <w:sz w:val="24"/>
              </w:rPr>
              <w:t>审核组专业</w:t>
            </w:r>
            <w:r>
              <w:rPr>
                <w:rFonts w:ascii="Wingdings 2" w:hAnsi="Wingdings 2" w:cs="宋体"/>
                <w:bCs/>
                <w:sz w:val="28"/>
                <w:szCs w:val="28"/>
              </w:rPr>
              <w:sym w:font="Wingdings 2" w:char="F0BE"/>
            </w:r>
            <w:r>
              <w:rPr>
                <w:rFonts w:hint="eastAsia" w:ascii="宋体" w:hAnsi="宋体" w:cs="宋体"/>
                <w:bCs/>
                <w:sz w:val="24"/>
              </w:rPr>
              <w:t>能 □否满足要求，□需□否增派审核员/技术专家，</w:t>
            </w:r>
          </w:p>
          <w:p>
            <w:pPr>
              <w:rPr>
                <w:rFonts w:ascii="宋体" w:hAnsi="宋体" w:cs="宋体"/>
                <w:bCs/>
                <w:sz w:val="24"/>
              </w:rPr>
            </w:pPr>
            <w:r>
              <w:rPr>
                <w:rFonts w:hint="eastAsia" w:ascii="宋体" w:hAnsi="宋体" w:cs="宋体"/>
                <w:bCs/>
                <w:sz w:val="24"/>
              </w:rPr>
              <w:t>各小组分工</w:t>
            </w:r>
            <w:r>
              <w:rPr>
                <w:rFonts w:ascii="Wingdings 2" w:hAnsi="Wingdings 2" w:cs="宋体"/>
                <w:bCs/>
                <w:sz w:val="28"/>
                <w:szCs w:val="28"/>
              </w:rPr>
              <w:sym w:font="Wingdings 2" w:char="F0BE"/>
            </w:r>
            <w:r>
              <w:rPr>
                <w:rFonts w:hint="eastAsia" w:ascii="宋体" w:hAnsi="宋体" w:cs="宋体"/>
                <w:bCs/>
                <w:sz w:val="24"/>
              </w:rPr>
              <w:t xml:space="preserve">是 □否合理，时间分配□是 □否足够，说明：                   </w:t>
            </w:r>
          </w:p>
          <w:p>
            <w:pPr>
              <w:rPr>
                <w:rFonts w:ascii="宋体" w:hAnsi="宋体" w:cs="宋体"/>
                <w:bCs/>
                <w:sz w:val="24"/>
              </w:rPr>
            </w:pPr>
            <w:r>
              <w:rPr>
                <w:rFonts w:hint="eastAsia" w:ascii="宋体" w:hAnsi="宋体" w:cs="宋体"/>
                <w:bCs/>
                <w:sz w:val="24"/>
              </w:rPr>
              <w:t>一阶段经现场审核发现存在问题：</w:t>
            </w:r>
          </w:p>
          <w:p>
            <w:pPr>
              <w:rPr>
                <w:rFonts w:ascii="宋体" w:hAnsi="宋体" w:cs="宋体"/>
                <w:bCs/>
                <w:sz w:val="24"/>
              </w:rPr>
            </w:pPr>
          </w:p>
          <w:p>
            <w:pPr>
              <w:rPr>
                <w:rFonts w:ascii="宋体" w:hAnsi="宋体" w:cs="宋体"/>
                <w:bCs/>
                <w:sz w:val="24"/>
              </w:rPr>
            </w:pPr>
            <w:r>
              <w:rPr>
                <w:rFonts w:hint="eastAsia" w:ascii="宋体" w:hAnsi="宋体" w:cs="宋体"/>
                <w:bCs/>
                <w:sz w:val="24"/>
              </w:rPr>
              <w:t>专业范围确定：</w:t>
            </w:r>
            <w:r>
              <w:rPr>
                <w:rFonts w:ascii="Wingdings 2" w:hAnsi="Wingdings 2" w:cs="宋体"/>
                <w:bCs/>
                <w:sz w:val="28"/>
                <w:szCs w:val="28"/>
              </w:rPr>
              <w:sym w:font="Wingdings 2" w:char="F0BE"/>
            </w:r>
            <w:r>
              <w:rPr>
                <w:rFonts w:hint="eastAsia" w:ascii="宋体" w:hAnsi="宋体" w:cs="宋体"/>
                <w:bCs/>
                <w:sz w:val="24"/>
              </w:rPr>
              <w:t>保持原申请范围  □重新确定认证范围：</w:t>
            </w:r>
          </w:p>
          <w:p>
            <w:pPr>
              <w:rPr>
                <w:rFonts w:ascii="宋体" w:hAnsi="宋体" w:cs="宋体"/>
                <w:bCs/>
                <w:sz w:val="24"/>
              </w:rPr>
            </w:pPr>
          </w:p>
          <w:p>
            <w:pPr>
              <w:rPr>
                <w:rFonts w:ascii="宋体" w:hAnsi="宋体" w:cs="宋体"/>
                <w:bCs/>
                <w:sz w:val="24"/>
              </w:rPr>
            </w:pPr>
            <w:r>
              <w:rPr>
                <w:rFonts w:hint="eastAsia" w:ascii="宋体" w:hAnsi="宋体" w:cs="宋体"/>
                <w:bCs/>
                <w:sz w:val="24"/>
              </w:rPr>
              <w:t>□可进行二阶段审核  □需整改后进行二阶段审核  □不具备二阶段审核</w:t>
            </w:r>
          </w:p>
          <w:p>
            <w:pPr>
              <w:rPr>
                <w:rFonts w:ascii="宋体" w:hAnsi="宋体" w:cs="宋体"/>
                <w:bCs/>
                <w:sz w:val="24"/>
              </w:rPr>
            </w:pPr>
            <w:r>
              <w:rPr>
                <w:rFonts w:hint="eastAsia" w:ascii="宋体" w:hAnsi="宋体" w:cs="宋体"/>
                <w:bCs/>
                <w:sz w:val="24"/>
              </w:rPr>
              <w:t>□受审核方一体化程度：</w:t>
            </w:r>
          </w:p>
          <w:p>
            <w:pPr>
              <w:pStyle w:val="3"/>
              <w:ind w:firstLine="0" w:firstLineChars="0"/>
              <w:rPr>
                <w:rFonts w:ascii="宋体" w:hAnsi="宋体" w:cs="宋体"/>
                <w:bCs/>
                <w:sz w:val="24"/>
              </w:rPr>
            </w:pPr>
            <w:r>
              <w:rPr>
                <w:rFonts w:hint="eastAsia" w:ascii="宋体" w:hAnsi="宋体" w:cs="宋体"/>
                <w:bCs/>
                <w:sz w:val="24"/>
              </w:rPr>
              <w:t>远程审核（适用时）：</w:t>
            </w:r>
          </w:p>
          <w:p>
            <w:pPr>
              <w:pStyle w:val="3"/>
              <w:ind w:firstLine="0" w:firstLineChars="0"/>
              <w:rPr>
                <w:rFonts w:ascii="宋体" w:hAnsi="宋体" w:cs="宋体"/>
                <w:bCs/>
                <w:sz w:val="24"/>
              </w:rPr>
            </w:pPr>
            <w:r>
              <w:rPr>
                <w:rFonts w:hint="eastAsia" w:ascii="宋体" w:hAnsi="宋体" w:cs="宋体"/>
                <w:bCs/>
                <w:sz w:val="24"/>
              </w:rPr>
              <w:t xml:space="preserve">已安排的远程审核是否完成   □是    □否 </w:t>
            </w:r>
          </w:p>
          <w:p>
            <w:pPr>
              <w:pStyle w:val="3"/>
              <w:ind w:firstLine="0" w:firstLineChars="0"/>
              <w:rPr>
                <w:rFonts w:ascii="宋体" w:hAnsi="宋体" w:cs="宋体"/>
                <w:bCs/>
                <w:sz w:val="24"/>
              </w:rPr>
            </w:pPr>
            <w:r>
              <w:rPr>
                <w:rFonts w:hint="eastAsia" w:ascii="宋体" w:hAnsi="宋体" w:cs="宋体"/>
                <w:bCs/>
                <w:sz w:val="24"/>
              </w:rPr>
              <w:t xml:space="preserve">本次远程活动中，是否实现审核目标     □是    □否 </w:t>
            </w:r>
          </w:p>
          <w:p>
            <w:pPr>
              <w:rPr>
                <w:rFonts w:ascii="宋体" w:hAnsi="宋体" w:cs="宋体"/>
                <w:bCs/>
                <w:sz w:val="24"/>
              </w:rPr>
            </w:pPr>
            <w:r>
              <w:rPr>
                <w:rFonts w:hint="eastAsia" w:ascii="宋体" w:hAnsi="宋体" w:cs="宋体"/>
                <w:bCs/>
                <w:sz w:val="24"/>
              </w:rPr>
              <w:t>一阶段组长对二阶段审核建议：</w:t>
            </w:r>
          </w:p>
          <w:p>
            <w:pPr>
              <w:spacing w:before="47" w:beforeLines="15" w:after="47" w:afterLines="15"/>
              <w:rPr>
                <w:rFonts w:ascii="宋体" w:hAnsi="宋体" w:cs="宋体"/>
                <w:bCs/>
                <w:sz w:val="24"/>
              </w:rPr>
            </w:pPr>
          </w:p>
          <w:p>
            <w:pPr>
              <w:pStyle w:val="3"/>
              <w:ind w:firstLine="0" w:firstLineChars="0"/>
              <w:rPr>
                <w:rFonts w:ascii="宋体" w:hAnsi="宋体" w:cs="宋体"/>
                <w:bCs/>
                <w:sz w:val="24"/>
              </w:rPr>
            </w:pPr>
            <w:r>
              <w:rPr>
                <w:rFonts w:hint="eastAsia" w:ascii="宋体" w:hAnsi="宋体" w:cs="宋体"/>
                <w:bCs/>
                <w:sz w:val="24"/>
              </w:rPr>
              <w:t>审核组长/日期：</w:t>
            </w:r>
          </w:p>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381" w:type="dxa"/>
            <w:vAlign w:val="center"/>
          </w:tcPr>
          <w:p>
            <w:pPr>
              <w:jc w:val="center"/>
              <w:rPr>
                <w:bCs/>
                <w:sz w:val="24"/>
              </w:rPr>
            </w:pPr>
            <w:r>
              <w:rPr>
                <w:rFonts w:hint="eastAsia"/>
                <w:bCs/>
                <w:sz w:val="24"/>
              </w:rPr>
              <w:t>审核方案</w:t>
            </w:r>
          </w:p>
          <w:p>
            <w:pPr>
              <w:jc w:val="center"/>
              <w:rPr>
                <w:bCs/>
                <w:sz w:val="24"/>
              </w:rPr>
            </w:pPr>
            <w:r>
              <w:rPr>
                <w:rFonts w:hint="eastAsia"/>
                <w:bCs/>
                <w:sz w:val="24"/>
              </w:rPr>
              <w:t>实施</w:t>
            </w:r>
          </w:p>
        </w:tc>
        <w:tc>
          <w:tcPr>
            <w:tcW w:w="8941" w:type="dxa"/>
            <w:gridSpan w:val="14"/>
            <w:vAlign w:val="center"/>
          </w:tcPr>
          <w:p>
            <w:pPr>
              <w:spacing w:line="400" w:lineRule="exact"/>
              <w:rPr>
                <w:rFonts w:ascii="宋体" w:hAnsi="宋体"/>
                <w:sz w:val="24"/>
              </w:rPr>
            </w:pPr>
            <w:r>
              <w:rPr>
                <w:rFonts w:hint="eastAsia" w:ascii="宋体" w:hAnsi="宋体"/>
                <w:sz w:val="24"/>
              </w:rPr>
              <w:t>第二阶段的说明（没有变化可不填）：</w:t>
            </w:r>
            <w:r>
              <w:rPr>
                <w:rFonts w:hint="eastAsia" w:ascii="宋体" w:hAnsi="宋体"/>
                <w:color w:val="000000"/>
                <w:sz w:val="24"/>
              </w:rPr>
              <w:t xml:space="preserve">人/日数□增加 □减少 </w:t>
            </w:r>
          </w:p>
          <w:p>
            <w:pPr>
              <w:spacing w:line="400" w:lineRule="exact"/>
              <w:rPr>
                <w:rFonts w:ascii="宋体" w:hAnsi="宋体"/>
                <w:color w:val="000000"/>
                <w:sz w:val="24"/>
              </w:rPr>
            </w:pPr>
            <w:r>
              <w:rPr>
                <w:rFonts w:hint="eastAsia" w:ascii="宋体" w:hAnsi="宋体"/>
                <w:color w:val="000000"/>
                <w:sz w:val="24"/>
              </w:rPr>
              <w:t>□现场情况变化：</w:t>
            </w:r>
          </w:p>
          <w:p>
            <w:pPr>
              <w:spacing w:line="400" w:lineRule="exact"/>
              <w:rPr>
                <w:bCs/>
                <w:sz w:val="24"/>
              </w:rPr>
            </w:pPr>
          </w:p>
          <w:p>
            <w:pPr>
              <w:spacing w:line="400" w:lineRule="exact"/>
              <w:rPr>
                <w:bCs/>
                <w:sz w:val="24"/>
              </w:rPr>
            </w:pPr>
            <w:r>
              <w:rPr>
                <w:bCs/>
                <w:sz w:val="24"/>
              </w:rPr>
              <w:t>不符合</w:t>
            </w:r>
            <w:r>
              <w:rPr>
                <w:rFonts w:hint="eastAsia"/>
                <w:bCs/>
                <w:sz w:val="24"/>
              </w:rPr>
              <w:t xml:space="preserve">   项    分布</w:t>
            </w:r>
            <w:r>
              <w:rPr>
                <w:bCs/>
                <w:sz w:val="24"/>
              </w:rPr>
              <w:t>部门</w:t>
            </w:r>
            <w:r>
              <w:rPr>
                <w:rFonts w:hint="eastAsia"/>
                <w:bCs/>
                <w:sz w:val="24"/>
              </w:rPr>
              <w:t xml:space="preserve">：           </w:t>
            </w:r>
          </w:p>
          <w:p>
            <w:pPr>
              <w:spacing w:line="400" w:lineRule="exact"/>
              <w:rPr>
                <w:bCs/>
                <w:sz w:val="24"/>
              </w:rPr>
            </w:pPr>
            <w:r>
              <w:rPr>
                <w:rFonts w:hint="eastAsia"/>
                <w:bCs/>
                <w:sz w:val="24"/>
              </w:rPr>
              <w:t>不符合标准及条款：</w:t>
            </w:r>
          </w:p>
          <w:p>
            <w:pPr>
              <w:spacing w:line="400" w:lineRule="exact"/>
              <w:rPr>
                <w:bCs/>
                <w:sz w:val="24"/>
              </w:rPr>
            </w:pPr>
            <w:r>
              <w:rPr>
                <w:bCs/>
                <w:sz w:val="24"/>
              </w:rPr>
              <w:t>不符合性质</w:t>
            </w:r>
            <w:r>
              <w:rPr>
                <w:rFonts w:hint="eastAsia"/>
                <w:bCs/>
                <w:sz w:val="24"/>
              </w:rPr>
              <w:t>：□一般不符合   □严重不符合</w:t>
            </w:r>
          </w:p>
          <w:p>
            <w:pPr>
              <w:pStyle w:val="3"/>
              <w:ind w:firstLine="0" w:firstLineChars="0"/>
              <w:rPr>
                <w:bCs/>
                <w:sz w:val="24"/>
              </w:rPr>
            </w:pPr>
          </w:p>
          <w:p>
            <w:pPr>
              <w:spacing w:line="240" w:lineRule="atLeast"/>
              <w:rPr>
                <w:rFonts w:ascii="宋体" w:hAnsi="宋体"/>
                <w:sz w:val="24"/>
                <w:u w:val="single"/>
              </w:rPr>
            </w:pPr>
            <w:r>
              <w:rPr>
                <w:rFonts w:hint="eastAsia" w:ascii="宋体" w:hAnsi="宋体"/>
                <w:sz w:val="24"/>
              </w:rPr>
              <w:t>审核范围变化(需要时)：</w:t>
            </w:r>
          </w:p>
          <w:p>
            <w:pPr>
              <w:spacing w:line="240" w:lineRule="atLeast"/>
              <w:rPr>
                <w:rFonts w:ascii="宋体" w:hAnsi="宋体"/>
                <w:sz w:val="24"/>
              </w:rPr>
            </w:pPr>
            <w:r>
              <w:rPr>
                <w:rFonts w:hint="eastAsia" w:ascii="宋体" w:hAnsi="宋体"/>
                <w:sz w:val="24"/>
              </w:rPr>
              <w:t>□是 □否专业能力满足要求：□是 □否人/日数满足要求，审核计划 □是  □否合理</w:t>
            </w:r>
          </w:p>
          <w:p>
            <w:pPr>
              <w:spacing w:line="300" w:lineRule="auto"/>
              <w:rPr>
                <w:rFonts w:ascii="宋体" w:hAnsi="宋体"/>
                <w:sz w:val="24"/>
                <w:u w:val="single"/>
              </w:rPr>
            </w:pPr>
            <w:r>
              <w:rPr>
                <w:rFonts w:hint="eastAsia" w:ascii="宋体" w:hAnsi="宋体"/>
                <w:sz w:val="24"/>
              </w:rPr>
              <w:t>下次审核建议：</w:t>
            </w:r>
          </w:p>
          <w:p>
            <w:pPr>
              <w:pStyle w:val="3"/>
              <w:ind w:firstLine="0" w:firstLineChars="0"/>
              <w:rPr>
                <w:rFonts w:ascii="宋体" w:hAnsi="宋体" w:cs="宋体"/>
                <w:bCs/>
                <w:sz w:val="24"/>
              </w:rPr>
            </w:pPr>
            <w:r>
              <w:rPr>
                <w:rFonts w:hint="eastAsia" w:ascii="宋体" w:hAnsi="宋体" w:cs="宋体"/>
                <w:bCs/>
                <w:sz w:val="24"/>
              </w:rPr>
              <w:t>远程审核（适用时）：</w:t>
            </w:r>
          </w:p>
          <w:p>
            <w:pPr>
              <w:pStyle w:val="3"/>
              <w:ind w:firstLine="0" w:firstLineChars="0"/>
              <w:rPr>
                <w:rFonts w:ascii="宋体" w:hAnsi="宋体" w:cs="宋体"/>
                <w:bCs/>
                <w:sz w:val="24"/>
              </w:rPr>
            </w:pPr>
            <w:r>
              <w:rPr>
                <w:rFonts w:hint="eastAsia" w:ascii="宋体" w:hAnsi="宋体" w:cs="宋体"/>
                <w:bCs/>
                <w:sz w:val="24"/>
              </w:rPr>
              <w:t xml:space="preserve">已安排的远程审核是否完成   □是    □否 </w:t>
            </w:r>
          </w:p>
          <w:p>
            <w:pPr>
              <w:pStyle w:val="3"/>
              <w:ind w:firstLine="0" w:firstLineChars="0"/>
              <w:rPr>
                <w:rFonts w:ascii="宋体" w:hAnsi="宋体" w:cs="宋体"/>
                <w:bCs/>
                <w:sz w:val="24"/>
              </w:rPr>
            </w:pPr>
            <w:r>
              <w:rPr>
                <w:rFonts w:hint="eastAsia" w:ascii="宋体" w:hAnsi="宋体" w:cs="宋体"/>
                <w:bCs/>
                <w:sz w:val="24"/>
              </w:rPr>
              <w:t xml:space="preserve">本次远程活动中，是否实现审核目标     □是    □否 </w:t>
            </w:r>
          </w:p>
          <w:p>
            <w:pPr>
              <w:pStyle w:val="3"/>
              <w:ind w:firstLine="0" w:firstLineChars="0"/>
              <w:rPr>
                <w:rFonts w:ascii="宋体" w:hAnsi="宋体" w:cs="宋体"/>
                <w:bCs/>
                <w:sz w:val="24"/>
              </w:rPr>
            </w:pPr>
            <w:r>
              <w:rPr>
                <w:rFonts w:hint="eastAsia" w:ascii="宋体" w:hAnsi="宋体" w:cs="宋体"/>
                <w:bCs/>
                <w:sz w:val="24"/>
              </w:rPr>
              <w:t>审核结论</w:t>
            </w:r>
          </w:p>
          <w:p>
            <w:pPr>
              <w:spacing w:line="400" w:lineRule="exact"/>
              <w:rPr>
                <w:rFonts w:ascii="宋体" w:hAnsi="宋体"/>
                <w:sz w:val="24"/>
              </w:rPr>
            </w:pPr>
            <w:r>
              <w:rPr>
                <w:rFonts w:hint="eastAsia" w:ascii="宋体" w:hAnsi="宋体"/>
                <w:sz w:val="24"/>
              </w:rPr>
              <w:t>□推荐认证注册  □QMS □EMS □OHSMS □其他</w:t>
            </w:r>
          </w:p>
          <w:p>
            <w:pPr>
              <w:spacing w:line="400" w:lineRule="exact"/>
              <w:rPr>
                <w:rFonts w:ascii="宋体" w:hAnsi="宋体"/>
                <w:color w:val="000000"/>
                <w:sz w:val="24"/>
              </w:rPr>
            </w:pPr>
            <w:r>
              <w:rPr>
                <w:rFonts w:hint="eastAsia" w:ascii="宋体" w:hAnsi="宋体"/>
                <w:sz w:val="24"/>
              </w:rPr>
              <w:t>□延期推荐认证注册□QMS □EMS □OHSMS □其他</w:t>
            </w:r>
          </w:p>
          <w:p>
            <w:pPr>
              <w:rPr>
                <w:rFonts w:ascii="宋体" w:hAnsi="宋体"/>
                <w:sz w:val="24"/>
              </w:rPr>
            </w:pPr>
            <w:r>
              <w:rPr>
                <w:rFonts w:hint="eastAsia" w:ascii="宋体" w:hAnsi="宋体"/>
                <w:sz w:val="24"/>
              </w:rPr>
              <w:t>□不推荐认证注册  □QMS □EMS □OHSMS□其他</w:t>
            </w:r>
          </w:p>
          <w:p>
            <w:pPr>
              <w:pStyle w:val="3"/>
              <w:ind w:firstLine="480"/>
              <w:rPr>
                <w:sz w:val="24"/>
              </w:rPr>
            </w:pPr>
          </w:p>
          <w:p>
            <w:pPr>
              <w:pStyle w:val="3"/>
              <w:ind w:firstLine="0" w:firstLineChars="0"/>
              <w:rPr>
                <w:bCs/>
                <w:sz w:val="24"/>
              </w:rPr>
            </w:pPr>
          </w:p>
          <w:p>
            <w:pPr>
              <w:pStyle w:val="3"/>
              <w:ind w:firstLine="0" w:firstLineChars="0"/>
              <w:rPr>
                <w:rFonts w:ascii="宋体" w:hAnsi="宋体" w:cs="宋体"/>
                <w:bCs/>
                <w:sz w:val="24"/>
              </w:rPr>
            </w:pPr>
            <w:r>
              <w:rPr>
                <w:rFonts w:hint="eastAsia" w:ascii="宋体" w:hAnsi="宋体" w:cs="宋体"/>
                <w:bCs/>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第一次监督审核方案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3"/>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Merge w:val="continue"/>
            <w:vAlign w:val="center"/>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3"/>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3"/>
              <w:ind w:firstLine="0" w:firstLineChars="0"/>
              <w:rPr>
                <w:rFonts w:ascii="宋体" w:hAnsi="宋体"/>
                <w:sz w:val="24"/>
              </w:rPr>
            </w:pPr>
          </w:p>
          <w:p>
            <w:pPr>
              <w:pStyle w:val="3"/>
              <w:ind w:firstLine="0" w:firstLineChars="0"/>
              <w:rPr>
                <w:rFonts w:ascii="宋体" w:hAnsi="宋体" w:cs="宋体"/>
                <w:bCs/>
                <w:sz w:val="24"/>
              </w:rPr>
            </w:pPr>
            <w:r>
              <w:rPr>
                <w:rFonts w:hint="eastAsia" w:ascii="宋体" w:hAnsi="宋体" w:cs="宋体"/>
                <w:bCs/>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第二次监督审核方案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w:t>
            </w:r>
            <w:r>
              <w:rPr>
                <w:rFonts w:hint="eastAsia" w:ascii="宋体" w:hAnsi="宋体"/>
                <w:color w:val="000000"/>
              </w:rPr>
              <w:sym w:font="Wingdings 2" w:char="0052"/>
            </w:r>
            <w:r>
              <w:rPr>
                <w:rFonts w:hint="eastAsia" w:ascii="宋体" w:hAnsi="宋体"/>
                <w:color w:val="000000"/>
              </w:rPr>
              <w:t xml:space="preserve">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rFonts w:hint="default" w:eastAsia="宋体"/>
                <w:bCs/>
                <w:sz w:val="24"/>
                <w:lang w:val="en-US" w:eastAsia="zh-CN"/>
              </w:rPr>
            </w:pPr>
            <w:r>
              <w:rPr>
                <w:rFonts w:hint="eastAsia" w:ascii="宋体" w:hAnsi="宋体"/>
                <w:color w:val="000000"/>
              </w:rPr>
              <w:t>变更信息的附件编号或日期：</w:t>
            </w:r>
            <w:r>
              <w:rPr>
                <w:rFonts w:hint="eastAsia" w:ascii="宋体" w:hAnsi="宋体"/>
                <w:color w:val="000000"/>
                <w:lang w:val="en-US" w:eastAsia="zh-CN"/>
              </w:rPr>
              <w:t>2023.3.1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r>
              <w:rPr>
                <w:rFonts w:hint="eastAsia" w:ascii="宋体" w:hAnsi="宋体"/>
                <w:b w:val="0"/>
                <w:bCs w:val="0"/>
                <w:color w:val="auto"/>
                <w:sz w:val="21"/>
                <w:szCs w:val="21"/>
                <w:lang w:val="en-US" w:eastAsia="zh-CN"/>
              </w:rPr>
              <w:t>生产部</w:t>
            </w:r>
          </w:p>
          <w:p>
            <w:pPr>
              <w:adjustRightInd w:val="0"/>
              <w:snapToGrid w:val="0"/>
              <w:spacing w:line="320" w:lineRule="exact"/>
              <w:ind w:right="105" w:rightChars="50"/>
              <w:textAlignment w:val="baseline"/>
              <w:rPr>
                <w:rFonts w:hint="eastAsia" w:ascii="宋体" w:hAnsi="宋体" w:cs="Arial"/>
                <w:color w:val="auto"/>
                <w:sz w:val="21"/>
                <w:szCs w:val="21"/>
              </w:rPr>
            </w:pPr>
            <w:r>
              <w:rPr>
                <w:rFonts w:hint="eastAsia" w:ascii="宋体" w:hAnsi="宋体" w:cs="Arial"/>
                <w:color w:val="auto"/>
                <w:sz w:val="21"/>
                <w:szCs w:val="21"/>
              </w:rPr>
              <w:t>Q</w:t>
            </w:r>
            <w:r>
              <w:rPr>
                <w:rFonts w:hint="eastAsia" w:ascii="宋体" w:hAnsi="宋体" w:cs="Arial"/>
                <w:color w:val="auto"/>
                <w:sz w:val="21"/>
                <w:szCs w:val="21"/>
                <w:lang w:val="en-US" w:eastAsia="zh-CN"/>
              </w:rPr>
              <w:t>EO</w:t>
            </w:r>
            <w:r>
              <w:rPr>
                <w:rFonts w:hint="eastAsia" w:ascii="宋体" w:hAnsi="宋体" w:cs="Arial"/>
                <w:color w:val="auto"/>
                <w:sz w:val="21"/>
                <w:szCs w:val="21"/>
              </w:rPr>
              <w:t>:5.3组织的岗位、职责和权限、6.2质量目标</w:t>
            </w:r>
          </w:p>
          <w:p>
            <w:pPr>
              <w:adjustRightInd w:val="0"/>
              <w:snapToGrid w:val="0"/>
              <w:spacing w:line="320" w:lineRule="exact"/>
              <w:ind w:right="105" w:rightChars="50"/>
              <w:textAlignment w:val="baseline"/>
              <w:rPr>
                <w:rFonts w:hint="eastAsia" w:ascii="宋体" w:hAnsi="宋体" w:cs="Arial"/>
                <w:color w:val="auto"/>
                <w:sz w:val="21"/>
                <w:szCs w:val="21"/>
                <w:lang w:eastAsia="zh-CN"/>
              </w:rPr>
            </w:pPr>
            <w:r>
              <w:rPr>
                <w:rFonts w:hint="eastAsia" w:ascii="宋体" w:hAnsi="宋体" w:cs="Arial"/>
                <w:color w:val="auto"/>
                <w:sz w:val="21"/>
                <w:szCs w:val="21"/>
                <w:lang w:val="en-US" w:eastAsia="zh-CN"/>
              </w:rPr>
              <w:t>Q:</w:t>
            </w:r>
            <w:r>
              <w:rPr>
                <w:rFonts w:hint="eastAsia" w:ascii="宋体" w:hAnsi="宋体" w:cs="Arial"/>
                <w:color w:val="auto"/>
                <w:sz w:val="21"/>
                <w:szCs w:val="21"/>
              </w:rPr>
              <w:t>8.1运行策划和控制、8.3产品和服务的设计和开发、8.5.1生产和服务提供的控制、8.5.2产品标识和可追朔性、8.5.3顾客或外部供方的财产</w:t>
            </w:r>
            <w:r>
              <w:rPr>
                <w:rFonts w:hint="eastAsia" w:ascii="宋体" w:hAnsi="宋体" w:cs="Arial"/>
                <w:color w:val="auto"/>
                <w:sz w:val="21"/>
                <w:szCs w:val="21"/>
                <w:lang w:eastAsia="zh-CN"/>
              </w:rPr>
              <w:t>、</w:t>
            </w:r>
            <w:r>
              <w:rPr>
                <w:rFonts w:hint="eastAsia" w:ascii="宋体" w:hAnsi="宋体" w:cs="Arial"/>
                <w:color w:val="auto"/>
                <w:sz w:val="21"/>
                <w:szCs w:val="21"/>
              </w:rPr>
              <w:t>8.5.4产品防护</w:t>
            </w:r>
            <w:r>
              <w:rPr>
                <w:rFonts w:hint="eastAsia" w:ascii="宋体" w:hAnsi="宋体" w:cs="Arial"/>
                <w:color w:val="auto"/>
                <w:sz w:val="21"/>
                <w:szCs w:val="21"/>
                <w:lang w:eastAsia="zh-CN"/>
              </w:rPr>
              <w:t>、</w:t>
            </w:r>
            <w:r>
              <w:rPr>
                <w:rFonts w:hint="eastAsia" w:ascii="宋体" w:hAnsi="宋体" w:cs="Arial"/>
                <w:color w:val="auto"/>
                <w:sz w:val="21"/>
                <w:szCs w:val="21"/>
              </w:rPr>
              <w:t>8.5.5交付后的活动</w:t>
            </w:r>
            <w:r>
              <w:rPr>
                <w:rFonts w:hint="eastAsia" w:ascii="宋体" w:hAnsi="宋体" w:cs="Arial"/>
                <w:color w:val="auto"/>
                <w:sz w:val="21"/>
                <w:szCs w:val="21"/>
                <w:lang w:eastAsia="zh-CN"/>
              </w:rPr>
              <w:t>、</w:t>
            </w:r>
            <w:r>
              <w:rPr>
                <w:rFonts w:hint="eastAsia" w:ascii="宋体" w:hAnsi="宋体" w:cs="Arial"/>
                <w:color w:val="auto"/>
                <w:sz w:val="21"/>
                <w:szCs w:val="21"/>
              </w:rPr>
              <w:t>8.5.6更改控制</w:t>
            </w:r>
            <w:r>
              <w:rPr>
                <w:rFonts w:hint="eastAsia" w:ascii="宋体" w:hAnsi="宋体" w:cs="Arial"/>
                <w:color w:val="auto"/>
                <w:sz w:val="21"/>
                <w:szCs w:val="21"/>
                <w:lang w:eastAsia="zh-CN"/>
              </w:rPr>
              <w:t>、</w:t>
            </w:r>
            <w:r>
              <w:rPr>
                <w:rFonts w:hint="eastAsia" w:ascii="宋体" w:hAnsi="宋体" w:cs="Arial"/>
                <w:color w:val="auto"/>
                <w:sz w:val="21"/>
                <w:szCs w:val="21"/>
              </w:rPr>
              <w:t>8.6产品和服务的放行</w:t>
            </w:r>
            <w:r>
              <w:rPr>
                <w:rFonts w:hint="eastAsia" w:ascii="宋体" w:hAnsi="宋体" w:cs="Arial"/>
                <w:color w:val="auto"/>
                <w:sz w:val="21"/>
                <w:szCs w:val="21"/>
                <w:lang w:eastAsia="zh-CN"/>
              </w:rPr>
              <w:t>、</w:t>
            </w:r>
            <w:r>
              <w:rPr>
                <w:rFonts w:hint="eastAsia" w:ascii="宋体" w:hAnsi="宋体" w:cs="Arial"/>
                <w:color w:val="auto"/>
                <w:sz w:val="21"/>
                <w:szCs w:val="21"/>
              </w:rPr>
              <w:t>8.7不合格输出的控制</w:t>
            </w:r>
            <w:r>
              <w:rPr>
                <w:rFonts w:hint="eastAsia" w:ascii="宋体" w:hAnsi="宋体" w:cs="Arial"/>
                <w:color w:val="auto"/>
                <w:sz w:val="21"/>
                <w:szCs w:val="21"/>
                <w:lang w:eastAsia="zh-CN"/>
              </w:rPr>
              <w:t>、</w:t>
            </w:r>
          </w:p>
          <w:p>
            <w:pPr>
              <w:pStyle w:val="3"/>
              <w:ind w:firstLine="0" w:firstLineChars="0"/>
              <w:rPr>
                <w:sz w:val="24"/>
              </w:rPr>
            </w:pPr>
            <w:r>
              <w:rPr>
                <w:rFonts w:hint="eastAsia" w:ascii="宋体" w:hAnsi="宋体" w:cs="Arial"/>
                <w:color w:val="auto"/>
                <w:sz w:val="21"/>
                <w:szCs w:val="21"/>
                <w:lang w:val="en-US" w:eastAsia="zh-CN"/>
              </w:rPr>
              <w:t>EO:</w:t>
            </w:r>
            <w:r>
              <w:rPr>
                <w:rFonts w:hint="eastAsia" w:ascii="宋体" w:hAnsi="宋体" w:cs="Arial"/>
                <w:color w:val="auto"/>
                <w:sz w:val="21"/>
                <w:szCs w:val="21"/>
              </w:rPr>
              <w:t>6.1.2环境因素辨识与评价</w:t>
            </w:r>
            <w:r>
              <w:rPr>
                <w:rFonts w:hint="eastAsia" w:ascii="宋体" w:hAnsi="宋体" w:cs="Arial"/>
                <w:color w:val="auto"/>
                <w:sz w:val="21"/>
                <w:szCs w:val="21"/>
                <w:lang w:eastAsia="zh-CN"/>
              </w:rPr>
              <w:t>、</w:t>
            </w:r>
            <w:r>
              <w:rPr>
                <w:rFonts w:hint="eastAsia" w:ascii="宋体" w:hAnsi="宋体" w:cs="Arial"/>
                <w:color w:val="auto"/>
                <w:sz w:val="21"/>
                <w:szCs w:val="21"/>
                <w:lang w:val="en-US" w:eastAsia="zh-CN"/>
              </w:rPr>
              <w:t>6.1.4措施的策划、</w:t>
            </w:r>
            <w:r>
              <w:rPr>
                <w:rFonts w:hint="eastAsia" w:ascii="宋体" w:hAnsi="宋体" w:cs="Arial"/>
                <w:color w:val="auto"/>
                <w:sz w:val="21"/>
                <w:szCs w:val="21"/>
              </w:rPr>
              <w:t>8.1运行策划和控制、8.2应急准备和响应</w:t>
            </w:r>
            <w:r>
              <w:rPr>
                <w:rFonts w:hint="eastAsia" w:ascii="宋体" w:hAnsi="宋体" w:cs="Arial"/>
                <w:color w:val="auto"/>
                <w:sz w:val="21"/>
                <w:szCs w:val="21"/>
                <w:lang w:eastAsia="zh-CN"/>
              </w:rPr>
              <w:t>；</w:t>
            </w:r>
            <w:r>
              <w:rPr>
                <w:rFonts w:hint="eastAsia" w:ascii="宋体" w:hAnsi="宋体" w:cs="Arial"/>
                <w:color w:val="auto"/>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tcPr>
          <w:p>
            <w:pPr>
              <w:jc w:val="center"/>
              <w:rPr>
                <w:bCs/>
                <w:sz w:val="24"/>
              </w:rPr>
            </w:pPr>
          </w:p>
        </w:tc>
        <w:tc>
          <w:tcPr>
            <w:tcW w:w="8941" w:type="dxa"/>
            <w:gridSpan w:val="14"/>
            <w:vAlign w:val="center"/>
          </w:tcPr>
          <w:p>
            <w:pPr>
              <w:spacing w:line="400" w:lineRule="exact"/>
              <w:rPr>
                <w:rFonts w:hint="eastAsia" w:ascii="宋体" w:hAnsi="宋体" w:eastAsia="宋体"/>
                <w:bCs/>
                <w:sz w:val="24"/>
                <w:lang w:val="en-US" w:eastAsia="zh-CN"/>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w:t>
            </w:r>
            <w:r>
              <w:rPr>
                <w:rFonts w:hint="eastAsia" w:ascii="宋体" w:hAnsi="宋体"/>
                <w:bCs/>
                <w:sz w:val="24"/>
                <w:lang w:val="en-US" w:eastAsia="zh-CN"/>
              </w:rPr>
              <w:t>1</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r>
              <w:rPr>
                <w:rFonts w:hint="eastAsia" w:ascii="宋体" w:hAnsi="宋体"/>
                <w:bCs/>
                <w:sz w:val="24"/>
                <w:lang w:val="en-US" w:eastAsia="zh-CN"/>
              </w:rPr>
              <w:t>生产部</w:t>
            </w:r>
            <w:r>
              <w:rPr>
                <w:rFonts w:hint="eastAsia" w:ascii="宋体" w:hAnsi="宋体"/>
                <w:bCs/>
                <w:sz w:val="24"/>
              </w:rPr>
              <w:t xml:space="preserve">     </w:t>
            </w:r>
          </w:p>
          <w:p>
            <w:pPr>
              <w:spacing w:line="400" w:lineRule="exact"/>
              <w:rPr>
                <w:rFonts w:hint="eastAsia" w:ascii="宋体" w:hAnsi="宋体" w:eastAsia="宋体"/>
                <w:bCs/>
                <w:sz w:val="24"/>
                <w:lang w:val="en-US" w:eastAsia="zh-CN"/>
              </w:rPr>
            </w:pPr>
            <w:r>
              <w:rPr>
                <w:rFonts w:hint="eastAsia" w:ascii="宋体" w:hAnsi="宋体"/>
                <w:bCs/>
                <w:sz w:val="24"/>
              </w:rPr>
              <w:t>不符合标准及条款：</w:t>
            </w:r>
            <w:r>
              <w:rPr>
                <w:rFonts w:hint="eastAsia" w:ascii="宋体" w:hAnsi="宋体"/>
                <w:bCs/>
                <w:sz w:val="24"/>
                <w:lang w:val="en-US" w:eastAsia="zh-CN"/>
              </w:rPr>
              <w:t>Q</w:t>
            </w:r>
            <w:r>
              <w:rPr>
                <w:rFonts w:hint="eastAsia" w:ascii="宋体" w:hAnsi="宋体"/>
                <w:bCs/>
                <w:sz w:val="24"/>
                <w:lang w:val="en-US" w:eastAsia="zh-CN"/>
              </w:rPr>
              <w:t>8.5.1</w:t>
            </w:r>
          </w:p>
          <w:p>
            <w:pPr>
              <w:rPr>
                <w:rFonts w:ascii="宋体" w:hAnsi="宋体"/>
                <w:bCs/>
                <w:sz w:val="24"/>
              </w:rPr>
            </w:pPr>
            <w:r>
              <w:rPr>
                <w:rFonts w:ascii="宋体" w:hAnsi="宋体"/>
                <w:bCs/>
                <w:sz w:val="24"/>
              </w:rPr>
              <w:t>不符合性质</w:t>
            </w:r>
            <w:r>
              <w:rPr>
                <w:rFonts w:hint="eastAsia" w:ascii="宋体" w:hAnsi="宋体"/>
                <w:bCs/>
                <w:sz w:val="24"/>
              </w:rPr>
              <w:t>：</w:t>
            </w:r>
            <w:r>
              <w:rPr>
                <w:rFonts w:hint="eastAsia" w:ascii="宋体" w:hAnsi="宋体"/>
                <w:bCs/>
                <w:sz w:val="24"/>
              </w:rPr>
              <w:sym w:font="Wingdings 2" w:char="0052"/>
            </w:r>
            <w:r>
              <w:rPr>
                <w:rFonts w:hint="eastAsia" w:ascii="宋体" w:hAnsi="宋体"/>
                <w:bCs/>
                <w:sz w:val="24"/>
              </w:rPr>
              <w:t>一般不符合   □严重不符合</w:t>
            </w:r>
          </w:p>
          <w:p>
            <w:pPr>
              <w:rPr>
                <w:rFonts w:ascii="宋体" w:hAnsi="宋体"/>
                <w:bCs/>
                <w:sz w:val="24"/>
              </w:rPr>
            </w:pPr>
            <w:r>
              <w:rPr>
                <w:rFonts w:hint="eastAsia" w:ascii="宋体" w:hAnsi="宋体"/>
                <w:bCs/>
                <w:sz w:val="24"/>
              </w:rPr>
              <w:t xml:space="preserve">上次不符合项验证：关闭    </w:t>
            </w:r>
            <w:r>
              <w:rPr>
                <w:rFonts w:hint="eastAsia" w:ascii="宋体" w:hAnsi="宋体"/>
                <w:bCs/>
                <w:sz w:val="24"/>
                <w:lang w:val="en-US" w:eastAsia="zh-CN"/>
              </w:rPr>
              <w:t>1</w:t>
            </w:r>
            <w:r>
              <w:rPr>
                <w:rFonts w:hint="eastAsia" w:ascii="宋体" w:hAnsi="宋体"/>
                <w:bCs/>
                <w:sz w:val="24"/>
              </w:rPr>
              <w:t xml:space="preserve">  项。</w:t>
            </w:r>
          </w:p>
          <w:p>
            <w:pPr>
              <w:pStyle w:val="3"/>
              <w:ind w:firstLine="480"/>
              <w:rPr>
                <w:sz w:val="24"/>
              </w:rPr>
            </w:pPr>
          </w:p>
          <w:p>
            <w:pPr>
              <w:spacing w:line="400" w:lineRule="exact"/>
              <w:rPr>
                <w:rFonts w:ascii="宋体" w:hAnsi="宋体"/>
                <w:sz w:val="24"/>
              </w:rPr>
            </w:pPr>
            <w:r>
              <w:rPr>
                <w:rFonts w:hint="eastAsia" w:ascii="宋体" w:hAnsi="宋体"/>
                <w:sz w:val="24"/>
              </w:rPr>
              <w:sym w:font="Wingdings 2" w:char="0052"/>
            </w: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3"/>
              <w:ind w:firstLine="0" w:firstLineChars="0"/>
              <w:rPr>
                <w:rFonts w:ascii="宋体" w:hAnsi="宋体"/>
                <w:sz w:val="24"/>
              </w:rPr>
            </w:pPr>
          </w:p>
          <w:p>
            <w:pPr>
              <w:pStyle w:val="3"/>
              <w:ind w:firstLine="0" w:firstLineChars="0"/>
              <w:rPr>
                <w:rFonts w:hint="default" w:ascii="宋体" w:eastAsia="宋体"/>
                <w:bCs/>
                <w:sz w:val="24"/>
                <w:lang w:val="en-US" w:eastAsia="zh-CN"/>
              </w:rPr>
            </w:pPr>
            <w:r>
              <w:rPr>
                <w:rFonts w:hint="eastAsia" w:ascii="宋体" w:hAnsi="宋体" w:cs="宋体"/>
                <w:bCs/>
                <w:sz w:val="24"/>
              </w:rPr>
              <w:t>审核组长/日期：</w:t>
            </w:r>
            <w:r>
              <w:rPr>
                <w:rFonts w:hint="eastAsia" w:ascii="宋体" w:hAnsi="宋体" w:cs="宋体"/>
                <w:bCs/>
                <w:sz w:val="24"/>
                <w:lang w:val="en-US" w:eastAsia="zh-CN"/>
              </w:rPr>
              <w:t>郭力    2023.3.10</w:t>
            </w:r>
            <w:bookmarkStart w:id="18" w:name="_GoBack"/>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特殊监督审核方案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3"/>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4" w:hRule="atLeast"/>
          <w:jc w:val="center"/>
        </w:trPr>
        <w:tc>
          <w:tcPr>
            <w:tcW w:w="1381" w:type="dxa"/>
            <w:vMerge w:val="continue"/>
            <w:vAlign w:val="center"/>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3"/>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3"/>
              <w:ind w:firstLine="0" w:firstLineChars="0"/>
              <w:rPr>
                <w:rFonts w:ascii="宋体" w:hAnsi="宋体"/>
                <w:sz w:val="24"/>
              </w:rPr>
            </w:pPr>
          </w:p>
          <w:p>
            <w:pPr>
              <w:pStyle w:val="3"/>
              <w:ind w:firstLine="0" w:firstLineChars="0"/>
              <w:rPr>
                <w:rFonts w:ascii="宋体"/>
                <w:bCs/>
                <w:sz w:val="24"/>
              </w:rPr>
            </w:pPr>
            <w:r>
              <w:rPr>
                <w:rFonts w:hint="eastAsia" w:ascii="宋体" w:hAnsi="宋体" w:cs="宋体"/>
                <w:bCs/>
                <w:sz w:val="24"/>
              </w:rPr>
              <w:t>审核组长/日期：</w:t>
            </w:r>
          </w:p>
        </w:tc>
      </w:tr>
    </w:tbl>
    <w:p>
      <w:pPr>
        <w:pStyle w:val="3"/>
        <w:ind w:firstLine="480"/>
        <w:rPr>
          <w:bCs/>
          <w:sz w:val="24"/>
        </w:rPr>
      </w:pPr>
    </w:p>
    <w:p>
      <w:pPr>
        <w:pStyle w:val="3"/>
        <w:ind w:firstLine="480"/>
        <w:rPr>
          <w:bCs/>
          <w:sz w:val="24"/>
        </w:rPr>
      </w:pPr>
    </w:p>
    <w:p>
      <w:pPr>
        <w:pStyle w:val="3"/>
        <w:ind w:firstLine="480"/>
        <w:rPr>
          <w:bCs/>
          <w:sz w:val="24"/>
        </w:rPr>
      </w:pPr>
    </w:p>
    <w:p>
      <w:pPr>
        <w:pStyle w:val="3"/>
        <w:ind w:firstLine="0" w:firstLineChars="0"/>
        <w:rPr>
          <w:bCs/>
          <w:sz w:val="24"/>
        </w:rPr>
      </w:pPr>
    </w:p>
    <w:sectPr>
      <w:headerReference r:id="rId3" w:type="default"/>
      <w:footerReference r:id="rId4" w:type="default"/>
      <w:pgSz w:w="11906" w:h="16838"/>
      <w:pgMar w:top="720" w:right="720" w:bottom="720" w:left="720"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540"/>
      <w:rPr>
        <w:b/>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tLeast"/>
      <w:ind w:firstLine="1365"/>
      <w:rPr>
        <w:rFonts w:ascii="宋体"/>
        <w:sz w:val="24"/>
        <w:u w:val="single"/>
      </w:rPr>
    </w:pPr>
  </w:p>
  <w:p>
    <w:pPr>
      <w:ind w:firstLine="420" w:firstLineChars="200"/>
      <w:rPr>
        <w:rStyle w:val="15"/>
        <w:rFonts w:hint="default" w:ascii="Times New Roman" w:hAnsi="Times New Roman"/>
        <w:szCs w:val="21"/>
      </w:rPr>
    </w:pPr>
    <w:r>
      <w:pict>
        <v:shape id="_x0000_s2049" o:spid="_x0000_s2049" o:spt="202" type="#_x0000_t202" style="position:absolute;left:0pt;margin-left:320.25pt;margin-top:2.25pt;height:24.15pt;width:194.8pt;z-index:251659264;mso-width-relative:page;mso-height-relative:page;" stroked="f" coordsize="21600,21600">
          <v:path/>
          <v:fill focussize="0,0"/>
          <v:stroke on="f" joinstyle="miter"/>
          <v:imagedata o:title=""/>
          <o:lock v:ext="edit"/>
          <v:textbox>
            <w:txbxContent>
              <w:p>
                <w:pPr>
                  <w:rPr>
                    <w:szCs w:val="21"/>
                  </w:rPr>
                </w:pPr>
                <w:r>
                  <w:rPr>
                    <w:color w:val="000000"/>
                    <w:kern w:val="0"/>
                    <w:szCs w:val="21"/>
                  </w:rPr>
                  <w:t>ISC-B-II-19</w:t>
                </w:r>
                <w:r>
                  <w:rPr>
                    <w:rFonts w:hint="eastAsia"/>
                    <w:szCs w:val="21"/>
                  </w:rPr>
                  <w:t>审核信息传递表（02版)</w:t>
                </w:r>
              </w:p>
            </w:txbxContent>
          </v:textbox>
        </v:shape>
      </w:pict>
    </w:r>
    <w:r>
      <w:pict>
        <v:shape id="图片 0" o:spid="_x0000_s2050" o:spt="75" alt="新LOGO.png" type="#_x0000_t75" style="position:absolute;left:0pt;margin-left:-18.1pt;margin-top:-8.25pt;height:38.2pt;width:37.95pt;mso-wrap-distance-bottom:0pt;mso-wrap-distance-top:0pt;z-index:251660288;mso-width-relative:page;mso-height-relative:page;" filled="f" o:preferrelative="t" stroked="f" coordsize="21600,21600">
          <v:path/>
          <v:fill on="f" focussize="0,0"/>
          <v:stroke on="f" joinstyle="miter"/>
          <v:imagedata r:id="rId1" o:title="新LOGO"/>
          <o:lock v:ext="edit" aspectratio="t"/>
          <w10:wrap type="topAndBottom"/>
        </v:shape>
      </w:pict>
    </w:r>
    <w:r>
      <w:rPr>
        <w:rStyle w:val="15"/>
        <w:rFonts w:hint="default" w:ascii="Times New Roman" w:hAnsi="Times New Roman"/>
        <w:szCs w:val="21"/>
      </w:rPr>
      <w:t>北京国标联合认证有限公司</w:t>
    </w:r>
  </w:p>
  <w:p>
    <w:pPr>
      <w:pStyle w:val="6"/>
      <w:pBdr>
        <w:bottom w:val="single" w:color="auto" w:sz="4" w:space="1"/>
      </w:pBdr>
      <w:spacing w:line="320" w:lineRule="exact"/>
      <w:ind w:firstLine="420" w:firstLineChars="250"/>
      <w:jc w:val="left"/>
      <w:rPr>
        <w:rFonts w:ascii="宋体"/>
        <w:spacing w:val="-18"/>
        <w:szCs w:val="21"/>
      </w:rPr>
    </w:pPr>
    <w:r>
      <w:rPr>
        <w:rStyle w:val="15"/>
        <w:rFonts w:hint="default" w:ascii="Times New Roman" w:hAnsi="Times New Roman"/>
        <w:w w:val="80"/>
        <w:szCs w:val="21"/>
      </w:rPr>
      <w:t xml:space="preserve">Beijing International Standard united Certification Co.,Ltd.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JhMzVmMjRhOTI3NTFjNmRlYmM5YzA2NWZhNjBiZTEifQ=="/>
  </w:docVars>
  <w:rsids>
    <w:rsidRoot w:val="00000000"/>
    <w:rsid w:val="3FD55988"/>
    <w:rsid w:val="55542258"/>
    <w:rsid w:val="57646128"/>
    <w:rsid w:val="79AC25AE"/>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locked/>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ind w:firstLine="420" w:firstLineChars="200"/>
    </w:pPr>
    <w:rPr>
      <w:rFonts w:ascii="Tms Rmn" w:hAnsi="Tms Rmn"/>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99"/>
    <w:rPr>
      <w:rFonts w:cs="Times New Roman"/>
    </w:rPr>
  </w:style>
  <w:style w:type="character" w:customStyle="1" w:styleId="11">
    <w:name w:val="批注框文本 Char"/>
    <w:basedOn w:val="9"/>
    <w:link w:val="4"/>
    <w:semiHidden/>
    <w:qFormat/>
    <w:locked/>
    <w:uiPriority w:val="99"/>
    <w:rPr>
      <w:rFonts w:ascii="Times New Roman" w:hAnsi="Times New Roman" w:eastAsia="宋体" w:cs="Times New Roman"/>
      <w:sz w:val="18"/>
      <w:szCs w:val="18"/>
    </w:rPr>
  </w:style>
  <w:style w:type="character" w:customStyle="1" w:styleId="12">
    <w:name w:val="页脚 Char"/>
    <w:basedOn w:val="9"/>
    <w:link w:val="5"/>
    <w:qFormat/>
    <w:locked/>
    <w:uiPriority w:val="99"/>
    <w:rPr>
      <w:rFonts w:ascii="Times New Roman" w:hAnsi="Times New Roman" w:eastAsia="宋体" w:cs="Times New Roman"/>
      <w:sz w:val="18"/>
      <w:szCs w:val="18"/>
    </w:rPr>
  </w:style>
  <w:style w:type="character" w:customStyle="1" w:styleId="13">
    <w:name w:val="页眉 Char"/>
    <w:basedOn w:val="9"/>
    <w:link w:val="6"/>
    <w:qFormat/>
    <w:locked/>
    <w:uiPriority w:val="99"/>
    <w:rPr>
      <w:rFonts w:ascii="Times New Roman" w:hAnsi="Times New Roman" w:eastAsia="宋体" w:cs="Times New Roman"/>
      <w:sz w:val="18"/>
      <w:szCs w:val="18"/>
    </w:rPr>
  </w:style>
  <w:style w:type="paragraph" w:customStyle="1" w:styleId="14">
    <w:name w:val="List Paragraph1"/>
    <w:basedOn w:val="1"/>
    <w:qFormat/>
    <w:uiPriority w:val="99"/>
    <w:pPr>
      <w:ind w:firstLine="420" w:firstLineChars="200"/>
    </w:p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350</Words>
  <Characters>1995</Characters>
  <Lines>16</Lines>
  <Paragraphs>4</Paragraphs>
  <TotalTime>0</TotalTime>
  <ScaleCrop>false</ScaleCrop>
  <LinksUpToDate>false</LinksUpToDate>
  <CharactersWithSpaces>2341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2019-03-19T00:44:00Z</dcterms:created>
  <dc:creator>微软用户</dc:creator>
  <cp:lastModifiedBy>郭力</cp:lastModifiedBy>
  <cp:lastPrinted>2015-12-21T05:08:00Z</cp:lastPrinted>
  <dcterms:modified xsi:type="dcterms:W3CDTF">2023-03-08T11:17:07Z</dcterms:modified>
  <dc:title>审核方案策划表</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2052-11.1.0.12980</vt:lpwstr>
  </property>
</Properties>
</file>