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</w:p>
    <w:p>
      <w:pPr>
        <w:spacing w:line="480" w:lineRule="exact"/>
        <w:ind w:firstLine="6300" w:firstLineChars="1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19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抽样计划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条款</w:t>
            </w:r>
          </w:p>
        </w:tc>
        <w:tc>
          <w:tcPr>
            <w:tcW w:w="1119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王彤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冯勇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spacing w:before="120" w:line="360" w:lineRule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李俐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审核条款：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环境因素/危险源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E6.1.2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按照办公区域及服务过程对环境因素、危险源进行了辨识，辨识时考虑了三种时态，过去、现在和将来，三种状态，正常、异常和紧急。</w:t>
            </w:r>
          </w:p>
          <w:p>
            <w:pPr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查到《环境因素识别评价汇总表》，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识别了本部门在办公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等各有关过程的环境因素，包括日光灯更换、电脑使用用电消耗、办公纸张消耗、不合格品排放等环境因素。</w:t>
            </w:r>
          </w:p>
          <w:p>
            <w:pPr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经评价涉及部门有2项重要环境因素：火灾发生、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固废排放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。</w:t>
            </w: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控制措施：固废分类存放、垃圾等由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负责按规定处置，日常监督检查和培训教育，消防配备有消防器材等措施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环境因素/危险源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O6.1.2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98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按照办公区域及服务过程对环境因素、危险源进行了辨识，辨识时考虑了三种时态，过去、现在和将来，三种状态，正常、异常和紧急。</w:t>
            </w:r>
          </w:p>
          <w:p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 xml:space="preserve">    查到《危险源识别及风险评价表》，识别了办公过程的电脑、复印辐射、办公电器漏电触电、检验活动过程中的玻璃仪器划伤等危险源。</w:t>
            </w:r>
          </w:p>
          <w:p>
            <w:pPr>
              <w:spacing w:line="360" w:lineRule="auto"/>
              <w:ind w:firstLine="468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经评价涉及部门的不可接受危险源：火灾和触电事故的发生。</w:t>
            </w:r>
          </w:p>
          <w:p>
            <w:pPr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危险源控制执行管理方案、配备消防器材、个体防护、日常检查、日常培训教育等运行控制措施。</w:t>
            </w:r>
          </w:p>
          <w:p>
            <w:pPr>
              <w:spacing w:line="360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 xml:space="preserve"> 部门识别和评价基本充分，符合规定要求。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运行控制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textAlignment w:val="baseline"/>
              <w:rPr>
                <w:rFonts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：8.1</w:t>
            </w:r>
          </w:p>
          <w:p>
            <w:pPr>
              <w:tabs>
                <w:tab w:val="left" w:pos="5220"/>
              </w:tabs>
              <w:spacing w:line="360" w:lineRule="auto"/>
              <w:jc w:val="left"/>
              <w:textAlignment w:val="top"/>
              <w:rPr>
                <w:rFonts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环境因素与危险源依据《环境因素识别评价程序》、《危险源辨识、风险评价和风险控制程序》识别并评价，日常工作中执行纸张双面打印，墨盒回收，人走灯灭，并对部门人员常宣传安全，做到节能、减排、降耗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在控制过程，考虑了顾客要求和相关法律法规要求。同时也考虑了组织的战略要求，包括利益相关方的相关要求，生命周期等，在废纸张处理、墨盒处理过程中均有体现。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部门重要环境因素与危险源有：火灾、水电的消耗、纸张的消耗、废墨盒打印机硒鼓等。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运行控制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立、实施和保持了《危险源辨识、风险评价和风险运行控制程序》，确定那些与已辨识的、需实施必要控制措施的风险相关的运行和活动任务，并且不同职能和层次的管理者应当针对这些活动任务进行策划，确保其在相应程序和工作指南规定的条件下执行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负责人财务主管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介绍：对于这些运行和活动任务，组织实施并保持：《环境和职业健康安全运行控制程序》《危险源辨识、风险评价和风险控制程序》等对已识别的重要环境因素进行控制。保证产品和服务的设计与开发过程满足生命周期的需求。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提供有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年环境、职业健康安全管理体系运行资金计划审批及财务投入清单：支出项目有员工体检、购置灭火器、劳保用品、消防安全培训和演练、固废处理等共计约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5.6万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元。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8.2</w:t>
            </w:r>
          </w:p>
        </w:tc>
        <w:tc>
          <w:tcPr>
            <w:tcW w:w="1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hanging="210" w:hangingChars="1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应急准备与相应活动的演练及对预案可行性的评价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编制了《应急准备和响应控制程序》，确定的紧急情况有：火灾、触电、人身伤害等。提供了应急预案，其中包括目的、适用范围、职责、应急处理细则、演习、必备资料等，相关内容基本充分。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演练前，由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经理对演练方案进行了培训。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演练部门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负责人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穆应应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  演练时间 2022年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应急准备和响应的组织工作有办公室负责，财务部参与办公室组织的应急准备和响应工作，具体情况参见办公室EO8.2审核记录。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03C0880"/>
    <w:rsid w:val="043D6C25"/>
    <w:rsid w:val="049A5E25"/>
    <w:rsid w:val="057332A8"/>
    <w:rsid w:val="06E7146D"/>
    <w:rsid w:val="0BC47C2C"/>
    <w:rsid w:val="0D780392"/>
    <w:rsid w:val="0F865924"/>
    <w:rsid w:val="0FDF6C68"/>
    <w:rsid w:val="10E70644"/>
    <w:rsid w:val="111E393A"/>
    <w:rsid w:val="122338FE"/>
    <w:rsid w:val="13B81064"/>
    <w:rsid w:val="150579F2"/>
    <w:rsid w:val="15AD04C1"/>
    <w:rsid w:val="166E4F6A"/>
    <w:rsid w:val="17996408"/>
    <w:rsid w:val="190776E2"/>
    <w:rsid w:val="1B6139B0"/>
    <w:rsid w:val="1D816169"/>
    <w:rsid w:val="1E37603B"/>
    <w:rsid w:val="1F56664A"/>
    <w:rsid w:val="224A458F"/>
    <w:rsid w:val="27E86D24"/>
    <w:rsid w:val="2BE55328"/>
    <w:rsid w:val="2D872B3B"/>
    <w:rsid w:val="377C1237"/>
    <w:rsid w:val="38AC5B4C"/>
    <w:rsid w:val="39AD0219"/>
    <w:rsid w:val="3BFF39BF"/>
    <w:rsid w:val="3D6F17D9"/>
    <w:rsid w:val="3F095C2B"/>
    <w:rsid w:val="432E715D"/>
    <w:rsid w:val="48220A60"/>
    <w:rsid w:val="4A9B30F8"/>
    <w:rsid w:val="4B125CE2"/>
    <w:rsid w:val="4B7A78FE"/>
    <w:rsid w:val="4C8E2177"/>
    <w:rsid w:val="56F1653F"/>
    <w:rsid w:val="5F3C1128"/>
    <w:rsid w:val="647E5D3F"/>
    <w:rsid w:val="6545060B"/>
    <w:rsid w:val="68A235FA"/>
    <w:rsid w:val="69C3366E"/>
    <w:rsid w:val="6B5B2D1C"/>
    <w:rsid w:val="71441BEA"/>
    <w:rsid w:val="725B146D"/>
    <w:rsid w:val="73CB617F"/>
    <w:rsid w:val="73EA3A83"/>
    <w:rsid w:val="74BB20D6"/>
    <w:rsid w:val="7530098F"/>
    <w:rsid w:val="75547427"/>
    <w:rsid w:val="782F6799"/>
    <w:rsid w:val="7C8810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2023-03-15T03:24:34Z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2052-11.1.0.12980</vt:lpwstr>
  </property>
</Properties>
</file>