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-652780</wp:posOffset>
            </wp:positionV>
            <wp:extent cx="7344410" cy="10386060"/>
            <wp:effectExtent l="0" t="0" r="8890" b="2540"/>
            <wp:wrapNone/>
            <wp:docPr id="1" name="图片 1" descr="扫描全能王 2023-03-12 19.0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12 19.02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38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0013-2021-2023</w:t>
      </w:r>
      <w:bookmarkEnd w:id="0"/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446" w:tblpY="308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59"/>
        <w:gridCol w:w="1145"/>
        <w:gridCol w:w="1121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2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陕西鑫联仪器仪表有限公司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测量设备名称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压力表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HC66512343366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Y-100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0.05级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标准活塞式压力计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1446552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(25~50)mm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4等量块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2022.12.08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(0~500)mm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=0.05mm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三等标准金属线纹尺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11060416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4等量块 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1816568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HT-6210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=6HLD 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标准里氏硬度块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超声波测厚仪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1808140050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TT130g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标准厚度块（3.3~197.9）mm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焊接检验尺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CD10216722Z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HJC60型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0.10mm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万能工具显微镜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4-1070984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(0~360）°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±5′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2级角度块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公司未建最高计量标准，测量设备由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西安硕隆计量检测有限公司和陕西省计量科学研究院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</w:t>
            </w:r>
            <w:r>
              <w:rPr>
                <w:rFonts w:hint="eastAsia"/>
                <w:color w:val="auto"/>
                <w:szCs w:val="21"/>
              </w:rPr>
              <w:t>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台件测量设备，符合量值溯源性管理的要求。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232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1A037E3"/>
    <w:rsid w:val="4C5F4CA7"/>
    <w:rsid w:val="7E2B4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207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2023-03-12T14:28:15Z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C29E185D61E94E83B848E585B513A075</vt:lpwstr>
  </property>
</Properties>
</file>