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深圳市永益华贸易有限公司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0179-2023-H</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深圳市龙华新区大浪街道部九窝龙军工业区八栋一楼</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刘巍巍</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广东省深圳市龙华新区大浪街道部九窝龙军工业区八栋一楼</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罗雄科</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15118067329</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15118067329</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危害分析与关键控制点体系</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危害分析与关键控制点（HACCP）体系认证要求（V1.0）</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位于广东省深圳市龙华新区大浪街道部九窝龙军工业区八栋一楼深圳市永益华贸易有限公司的初级农产品(鲜禽畜肉、鲜禽蛋和果蔬)、预包装食品（米、面、粮油、调味品）、散装食品（干杂）的销售</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FI-2</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多场所情况</w:t>
            </w:r>
          </w:p>
        </w:tc>
        <w:tc>
          <w:tcPr>
            <w:tcW w:w="5070" w:type="dxa"/>
            <w:gridSpan w:val="8"/>
            <w:vAlign w:val="center"/>
          </w:tcPr>
          <w:p w:rsidR="0052442F">
            <w:pPr>
              <w:spacing w:before="156" w:line="240" w:lineRule="exact"/>
              <w:rPr>
                <w:rFonts w:ascii="宋体"/>
                <w:bCs/>
                <w:sz w:val="24"/>
              </w:rPr>
            </w:pPr>
          </w:p>
        </w:tc>
        <w:tc>
          <w:tcPr>
            <w:tcW w:w="1859" w:type="dxa"/>
            <w:gridSpan w:val="4"/>
            <w:vAlign w:val="center"/>
          </w:tcPr>
          <w:p w:rsidR="0052442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pPr>
              <w:spacing w:before="156" w:line="240" w:lineRule="exact"/>
              <w:jc w:val="lef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pPr>
              <w:jc w:val="center"/>
              <w:rPr>
                <w:bCs/>
                <w:sz w:val="24"/>
              </w:rPr>
            </w:pPr>
            <w:r>
              <w:rPr>
                <w:rFonts w:hint="eastAsia"/>
                <w:bCs/>
                <w:sz w:val="24"/>
              </w:rPr>
              <w:t>多场所抽</w:t>
            </w:r>
          </w:p>
          <w:p w:rsidR="0052442F">
            <w:pPr>
              <w:ind w:firstLine="310"/>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6" w:name="企业人数"/>
            <w:r>
              <w:rPr>
                <w:rFonts w:ascii="宋体"/>
                <w:bCs/>
                <w:szCs w:val="21"/>
              </w:rPr>
              <w:t>110</w:t>
            </w:r>
            <w:bookmarkEnd w:id="16"/>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17" w:name="体系人数"/>
            <w:r>
              <w:rPr>
                <w:rFonts w:ascii="宋体"/>
                <w:bCs/>
                <w:szCs w:val="21"/>
              </w:rPr>
              <w:t>110</w:t>
            </w:r>
            <w:bookmarkEnd w:id="1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审核方案实施情况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第一阶段：现场审核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审核组专业</w:t>
            </w:r>
            <w:r w:rsidRPr="00AF1F36" w:rsid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r>
              <w:rPr>
                <w:rFonts w:ascii="宋体" w:hAnsi="宋体" w:cs="宋体" w:hint="eastAsia"/>
                <w:bCs/>
                <w:sz w:val="24"/>
              </w:rPr>
              <w:t>一阶段经现场审核发现存在问题：</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pPr>
              <w:rPr>
                <w:rFonts w:ascii="宋体" w:hAnsi="宋体" w:cs="宋体"/>
                <w:bCs/>
                <w:sz w:val="24"/>
              </w:rPr>
            </w:pPr>
            <w:r>
              <w:rPr>
                <w:rFonts w:ascii="宋体" w:hAnsi="宋体" w:cs="宋体" w:hint="eastAsia"/>
                <w:bCs/>
                <w:sz w:val="24"/>
              </w:rPr>
              <w:t>□受审核方一体化程度：</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rPr>
                <w:rFonts w:ascii="宋体" w:hAnsi="宋体" w:cs="宋体"/>
                <w:bCs/>
                <w:sz w:val="24"/>
              </w:rPr>
            </w:pPr>
            <w:r>
              <w:rPr>
                <w:rFonts w:ascii="宋体" w:hAnsi="宋体" w:cs="宋体" w:hint="eastAsia"/>
                <w:bCs/>
                <w:sz w:val="24"/>
              </w:rPr>
              <w:t>一阶段组长对二阶段审核建议：</w:t>
            </w:r>
          </w:p>
          <w:p w:rsidR="0052442F" w:rsidP="00873A44">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审核组长/日期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4"/>
          <w:jc w:val="center"/>
        </w:trPr>
        <w:tc>
          <w:tcPr>
            <w:tcW w:w="1381" w:type="dxa"/>
            <w:vAlign w:val="center"/>
          </w:tcPr>
          <w:p w:rsidR="0052442F">
            <w:pPr>
              <w:jc w:val="center"/>
              <w:rPr>
                <w:bCs/>
                <w:sz w:val="24"/>
              </w:rPr>
            </w:pPr>
            <w:r>
              <w:rPr>
                <w:rFonts w:hint="eastAsia"/>
                <w:bCs/>
                <w:sz w:val="24"/>
              </w:rPr>
              <w:t>审核方案</w:t>
            </w:r>
          </w:p>
          <w:p w:rsidR="0052442F">
            <w:pPr>
              <w:jc w:val="center"/>
              <w:rPr>
                <w:bCs/>
                <w:sz w:val="24"/>
              </w:rPr>
            </w:pPr>
            <w:r>
              <w:rPr>
                <w:rFonts w:hint="eastAsia"/>
                <w:bCs/>
                <w:sz w:val="24"/>
              </w:rPr>
              <w:t>实施</w:t>
            </w:r>
          </w:p>
        </w:tc>
        <w:tc>
          <w:tcPr>
            <w:tcW w:w="8941" w:type="dxa"/>
            <w:gridSpan w:val="14"/>
            <w:vAlign w:val="center"/>
          </w:tcPr>
          <w:p w:rsidR="0052442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pPr>
              <w:spacing w:line="400" w:lineRule="exact"/>
              <w:rPr>
                <w:rFonts w:ascii="宋体" w:hAnsi="宋体"/>
                <w:color w:val="000000"/>
                <w:sz w:val="24"/>
              </w:rPr>
            </w:pPr>
            <w:r>
              <w:rPr>
                <w:rFonts w:ascii="宋体" w:hAnsi="宋体" w:hint="eastAsia"/>
                <w:color w:val="000000"/>
                <w:sz w:val="24"/>
              </w:rPr>
              <w:t>□现场情况变化：</w:t>
            </w:r>
          </w:p>
          <w:p w:rsidR="0052442F">
            <w:pPr>
              <w:spacing w:line="400" w:lineRule="exact"/>
              <w:rPr>
                <w:bCs/>
                <w:sz w:val="24"/>
              </w:rPr>
            </w:pPr>
          </w:p>
          <w:p w:rsidR="0052442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pPr>
              <w:spacing w:line="400" w:lineRule="exact"/>
              <w:rPr>
                <w:bCs/>
                <w:sz w:val="24"/>
              </w:rPr>
            </w:pPr>
            <w:r>
              <w:rPr>
                <w:rFonts w:hint="eastAsia"/>
                <w:bCs/>
                <w:sz w:val="24"/>
              </w:rPr>
              <w:t>不符合标准及条款：</w:t>
            </w:r>
          </w:p>
          <w:p w:rsidR="0052442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pPr>
              <w:pStyle w:val="NormalIndent"/>
              <w:ind w:firstLine="0" w:firstLineChars="0"/>
              <w:rPr>
                <w:bCs/>
                <w:sz w:val="24"/>
              </w:rPr>
            </w:pPr>
          </w:p>
          <w:p w:rsidR="0052442F">
            <w:pPr>
              <w:spacing w:line="240" w:lineRule="atLeast"/>
              <w:rPr>
                <w:rFonts w:ascii="宋体" w:hAnsi="宋体"/>
                <w:sz w:val="24"/>
                <w:u w:val="single"/>
              </w:rPr>
            </w:pPr>
            <w:r>
              <w:rPr>
                <w:rFonts w:ascii="宋体" w:hAnsi="宋体" w:hint="eastAsia"/>
                <w:sz w:val="24"/>
              </w:rPr>
              <w:t>审核范围变化(需要时)：</w:t>
            </w:r>
          </w:p>
          <w:p w:rsidR="0052442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pPr>
              <w:spacing w:line="300" w:lineRule="auto"/>
              <w:rPr>
                <w:rFonts w:ascii="宋体" w:hAnsi="宋体"/>
                <w:sz w:val="24"/>
                <w:u w:val="single"/>
              </w:rPr>
            </w:pPr>
            <w:r>
              <w:rPr>
                <w:rFonts w:ascii="宋体" w:hAnsi="宋体" w:hint="eastAsia"/>
                <w:sz w:val="24"/>
              </w:rPr>
              <w:t>下次审核建议：</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pStyle w:val="NormalIndent"/>
              <w:ind w:firstLine="0" w:firstLineChars="0"/>
              <w:rPr>
                <w:rFonts w:ascii="宋体" w:hAnsi="宋体" w:cs="宋体"/>
                <w:bCs/>
                <w:sz w:val="24"/>
              </w:rPr>
            </w:pPr>
            <w:r>
              <w:rPr>
                <w:rFonts w:ascii="宋体" w:hAnsi="宋体" w:cs="宋体" w:hint="eastAsia"/>
                <w:bCs/>
                <w:sz w:val="24"/>
              </w:rPr>
              <w:t>审核结论</w:t>
            </w:r>
          </w:p>
          <w:p w:rsidR="0052442F">
            <w:pPr>
              <w:spacing w:line="400" w:lineRule="exact"/>
              <w:rPr>
                <w:rFonts w:ascii="宋体" w:hAnsi="宋体"/>
                <w:sz w:val="24"/>
              </w:rPr>
            </w:pPr>
            <w:r>
              <w:rPr>
                <w:rFonts w:ascii="宋体" w:hAnsi="宋体" w:hint="eastAsia"/>
                <w:sz w:val="24"/>
              </w:rPr>
              <w:t>□推荐认证注册  □QMS □EMS □OHSMS</w:t>
            </w:r>
            <w:r w:rsidR="00120A18">
              <w:rPr>
                <w:rFonts w:ascii="宋体" w:hAnsi="宋体" w:hint="eastAsia"/>
                <w:sz w:val="24"/>
              </w:rPr>
              <w:t xml:space="preserve"> </w:t>
            </w:r>
            <w:r>
              <w:rPr>
                <w:rFonts w:ascii="宋体" w:hAnsi="宋体" w:hint="eastAsia"/>
                <w:sz w:val="24"/>
              </w:rPr>
              <w:t>□其他</w:t>
            </w:r>
          </w:p>
          <w:p w:rsidR="0052442F">
            <w:pPr>
              <w:spacing w:line="400" w:lineRule="exact"/>
              <w:rPr>
                <w:rFonts w:ascii="宋体" w:hAnsi="宋体"/>
                <w:color w:val="000000"/>
                <w:sz w:val="24"/>
              </w:rPr>
            </w:pPr>
            <w:r>
              <w:rPr>
                <w:rFonts w:ascii="宋体" w:hAnsi="宋体" w:hint="eastAsia"/>
                <w:sz w:val="24"/>
              </w:rPr>
              <w:t>□延期推荐认证注册□QMS □EMS □OHSMS □其他</w:t>
            </w:r>
          </w:p>
          <w:p w:rsidR="0052442F">
            <w:pPr>
              <w:rPr>
                <w:rFonts w:ascii="宋体" w:hAnsi="宋体"/>
                <w:sz w:val="24"/>
              </w:rPr>
            </w:pPr>
            <w:r>
              <w:rPr>
                <w:rFonts w:ascii="宋体" w:hAnsi="宋体" w:hint="eastAsia"/>
                <w:sz w:val="24"/>
              </w:rPr>
              <w:t>□不推荐认证注册  □QMS □EMS □OHSMS□其他</w:t>
            </w:r>
          </w:p>
          <w:p w:rsidR="0052442F">
            <w:pPr>
              <w:pStyle w:val="NormalIndent"/>
              <w:ind w:firstLine="480"/>
              <w:rPr>
                <w:sz w:val="24"/>
              </w:rPr>
            </w:pPr>
          </w:p>
          <w:p w:rsidR="0052442F">
            <w:pPr>
              <w:pStyle w:val="NormalIndent"/>
              <w:ind w:firstLine="0" w:firstLineChars="0"/>
              <w:rPr>
                <w:bCs/>
                <w:sz w:val="24"/>
              </w:rPr>
            </w:pPr>
          </w:p>
          <w:p w:rsidR="0052442F" w:rsidRPr="00707272" w:rsidP="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rsidTr="00707272">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74"/>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18" w:name="_GoBack"/>
      <w:bookmarkEnd w:id="18"/>
    </w:p>
    <w:sectPr w:rsidSect="0052442F">
      <w:headerReference w:type="default" r:id="rId5"/>
      <w:footerReference w:type="default" r:id="rId6"/>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320.25pt;margin-top:2.25pt;position:absolute;width:194.8pt;z-index:251658240" stroked="f">
          <v:textbox>
            <w:txbxContent>
              <w:p w:rsidR="0052442F">
                <w:pPr>
                  <w:rPr>
                    <w:szCs w:val="21"/>
                  </w:rPr>
                </w:pPr>
                <w:r>
                  <w:rPr>
                    <w:color w:val="000000"/>
                    <w:kern w:val="0"/>
                    <w:szCs w:val="21"/>
                  </w:rPr>
                  <w:t>ISC-B-II-19</w:t>
                </w:r>
                <w:r w:rsidR="00FF3548">
                  <w:rPr>
                    <w:rFonts w:hint="eastAsia"/>
                    <w:szCs w:val="21"/>
                  </w:rPr>
                  <w:t>审核信息传递表（</w:t>
                </w:r>
                <w:r w:rsidR="00FF3548">
                  <w:rPr>
                    <w:rFonts w:hint="eastAsia"/>
                    <w:szCs w:val="21"/>
                  </w:rPr>
                  <w:t>02</w:t>
                </w:r>
                <w:r w:rsidR="00FF3548">
                  <w:rPr>
                    <w:rFonts w:hint="eastAsia"/>
                    <w:szCs w:val="21"/>
                  </w:rPr>
                  <w:t>版</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20</cp:revision>
  <cp:lastPrinted>2015-12-21T05:08:00Z</cp:lastPrinted>
  <dcterms:created xsi:type="dcterms:W3CDTF">2019-03-19T00:44:00Z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