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四川众诚测绘科技有限公司</w:t>
            </w:r>
            <w:bookmarkEnd w:id="0"/>
            <w:r>
              <w:rPr>
                <w:rFonts w:hint="eastAsia"/>
                <w:color w:val="000000"/>
                <w:sz w:val="24"/>
                <w:szCs w:val="24"/>
              </w:rPr>
              <w:t xml:space="preserve">                 陪同人员：</w:t>
            </w:r>
            <w:r>
              <w:rPr>
                <w:rFonts w:hint="eastAsia"/>
                <w:color w:val="000000"/>
                <w:sz w:val="24"/>
                <w:szCs w:val="24"/>
                <w:lang w:val="en-US" w:eastAsia="zh-CN"/>
              </w:rPr>
              <w:t>李文静</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lang w:val="en-US" w:eastAsia="zh-CN"/>
              </w:rPr>
              <w:t>宋明珠</w:t>
            </w:r>
            <w:r>
              <w:rPr>
                <w:rFonts w:hint="eastAsia"/>
                <w:color w:val="000000"/>
                <w:sz w:val="24"/>
                <w:szCs w:val="24"/>
              </w:rPr>
              <w:t xml:space="preserve">      审核时间：</w:t>
            </w:r>
            <w:bookmarkStart w:id="2" w:name="审核日期"/>
            <w:r>
              <w:rPr>
                <w:color w:val="000000"/>
              </w:rPr>
              <w:t>2023年03月05日 上午至2023年03月06日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ascii="华文宋体" w:hAnsi="华文宋体" w:eastAsia="华文宋体"/>
                <w:szCs w:val="21"/>
              </w:rPr>
              <w:t>91510106771675823U</w:t>
            </w:r>
            <w:r>
              <w:rPr>
                <w:rFonts w:hint="eastAsia"/>
                <w:color w:val="000000"/>
                <w:szCs w:val="21"/>
                <w:u w:val="single"/>
              </w:rPr>
              <w:t xml:space="preserve"> </w:t>
            </w:r>
            <w:r>
              <w:rPr>
                <w:rFonts w:hint="eastAsia"/>
                <w:color w:val="000000"/>
                <w:szCs w:val="21"/>
              </w:rPr>
              <w:t>； 有效期：</w:t>
            </w:r>
            <w:r>
              <w:rPr>
                <w:rFonts w:hint="eastAsia"/>
                <w:color w:val="000000"/>
                <w:szCs w:val="21"/>
                <w:lang w:val="en-US" w:eastAsia="zh-CN"/>
              </w:rPr>
              <w:t>长期有效</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企业的经营范围为:许可项目：测绘服务；建设工程设计；建设工程勘察；文物保护工程设计；地质灾害治理工程设计；检验检测服务。（依法须经批准的项目，经相关部门批准后方可开展经营活动，具体经营项目以相关部门批准文件或许可证件为准）一般项目：导航、测绘、气象及海洋专用仪器销售；卫星遥感应用系统集成；信息系统集成服务；地理遥感信息服务；智能机器人的研发；智能无人飞行器销售；计量服务；人工智能应用软件开发；软件开发；智能机器人销售；规划设计管理；工程管理服务；工程技术服务（规划管理、勘察、设计、监理除外）；技术服务、技术开发、技术咨询、技术交流、技术转让、技术推广；轨道交通专用设备、关键系统及部件销售；数字视频监控系统销售；专业设计服务；环境保护专用设备销售；物联网技术研发；物联网应用服务；互联网数据服务；文物文化遗址保护服务；数字文化创意内容应用服务；自然生态系统保护管理；环保咨询服务；生态资源监测；环境保护监测；水资源管理；会议及展览服务；广告制作；工程和技术研究和试验发展；工业机器人销售。（除依法须经批准的项目外，凭营业执照依法自主开展经营活动）；</w:t>
            </w:r>
          </w:p>
          <w:p>
            <w:pPr>
              <w:spacing w:line="440" w:lineRule="exact"/>
              <w:ind w:firstLine="420" w:firstLineChars="200"/>
              <w:rPr>
                <w:color w:val="000000"/>
                <w:szCs w:val="21"/>
              </w:rPr>
            </w:pPr>
            <w:r>
              <w:rPr>
                <w:rFonts w:hint="eastAsia"/>
                <w:color w:val="000000"/>
              </w:rPr>
              <w:t>认证申请范围：</w:t>
            </w:r>
            <w:r>
              <w:t>测绘航空摄影、摄影测量与遥感、工程测量、海洋测绘、界线与不动产测绘、地理信息系统工程、互联网地图服务</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lang w:eastAsia="zh-CN"/>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val="en-US" w:eastAsia="zh-CN"/>
              </w:rPr>
              <w:t>乙级测绘资质证书</w:t>
            </w:r>
            <w:r>
              <w:rPr>
                <w:rFonts w:hint="eastAsia"/>
                <w:b/>
                <w:bCs/>
                <w:color w:val="000000"/>
                <w:szCs w:val="21"/>
              </w:rPr>
              <w:t>》</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乙测资字51508655</w:t>
            </w:r>
            <w:r>
              <w:rPr>
                <w:rFonts w:hint="eastAsia"/>
                <w:color w:val="000000"/>
                <w:szCs w:val="21"/>
                <w:u w:val="single"/>
              </w:rPr>
              <w:t xml:space="preserve"> </w:t>
            </w:r>
            <w:r>
              <w:rPr>
                <w:rFonts w:hint="eastAsia"/>
                <w:color w:val="000000"/>
                <w:szCs w:val="21"/>
              </w:rPr>
              <w:t>； 有效期</w:t>
            </w:r>
            <w:r>
              <w:rPr>
                <w:rFonts w:hint="eastAsia"/>
                <w:color w:val="000000"/>
                <w:szCs w:val="21"/>
                <w:lang w:val="en-US" w:eastAsia="zh-CN"/>
              </w:rPr>
              <w:t>2026年12月2日</w:t>
            </w:r>
            <w:r>
              <w:rPr>
                <w:rFonts w:hint="eastAsia"/>
                <w:color w:val="000000"/>
                <w:szCs w:val="21"/>
              </w:rPr>
              <w:t>：；</w:t>
            </w:r>
          </w:p>
          <w:p>
            <w:pPr>
              <w:spacing w:line="440" w:lineRule="exact"/>
              <w:ind w:firstLine="420" w:firstLineChars="200"/>
              <w:rPr>
                <w:color w:val="000000"/>
                <w:szCs w:val="21"/>
                <w:u w:val="single"/>
              </w:rPr>
            </w:pPr>
          </w:p>
          <w:p>
            <w:pPr>
              <w:spacing w:line="440" w:lineRule="exact"/>
              <w:rPr>
                <w:rFonts w:hint="default" w:eastAsia="宋体"/>
                <w:color w:val="000000"/>
                <w:szCs w:val="21"/>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lang w:val="en-US" w:eastAsia="zh-CN"/>
              </w:rPr>
              <w:t>测绘航空摄影、摄影测量与遥感、工程测量、海洋测绘、界线与不动产测绘、地理信息系统工程、互联网地图服务。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lang w:eastAsia="zh-CN"/>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bookmarkStart w:id="3" w:name="注册地址"/>
            <w:r>
              <w:rPr>
                <w:sz w:val="21"/>
                <w:szCs w:val="21"/>
              </w:rPr>
              <w:t>四川省成都市金牛区人民北路一段8号5栋23层12号</w:t>
            </w:r>
            <w:bookmarkEnd w:id="3"/>
          </w:p>
          <w:p>
            <w:pPr>
              <w:rPr>
                <w:color w:val="000000"/>
              </w:rPr>
            </w:pPr>
            <w:r>
              <w:rPr>
                <w:rFonts w:hint="eastAsia"/>
                <w:color w:val="000000"/>
              </w:rPr>
              <w:t>与《营业执照》和《XX许可证》内容一致。</w:t>
            </w:r>
          </w:p>
          <w:p>
            <w:pPr>
              <w:rPr>
                <w:color w:val="000000"/>
              </w:rPr>
            </w:pPr>
          </w:p>
          <w:p>
            <w:pPr>
              <w:rPr>
                <w:rFonts w:hint="eastAsia"/>
                <w:color w:val="000000"/>
              </w:rPr>
            </w:pPr>
            <w:r>
              <w:rPr>
                <w:rFonts w:hint="eastAsia"/>
                <w:color w:val="000000"/>
              </w:rPr>
              <w:t>经营地址：</w:t>
            </w:r>
          </w:p>
          <w:p>
            <w:pPr>
              <w:rPr>
                <w:rFonts w:hint="eastAsia" w:ascii="华文宋体" w:hAnsi="华文宋体" w:eastAsia="华文宋体"/>
                <w:szCs w:val="21"/>
              </w:rPr>
            </w:pPr>
            <w:r>
              <w:rPr>
                <w:rFonts w:hint="eastAsia" w:ascii="华文宋体" w:hAnsi="华文宋体" w:eastAsia="华文宋体"/>
                <w:szCs w:val="21"/>
                <w:lang w:val="en-US" w:eastAsia="zh-CN"/>
              </w:rPr>
              <w:t>原地址：</w:t>
            </w:r>
            <w:r>
              <w:rPr>
                <w:rFonts w:hint="eastAsia" w:ascii="华文宋体" w:hAnsi="华文宋体" w:eastAsia="华文宋体"/>
                <w:szCs w:val="21"/>
              </w:rPr>
              <w:t>四川省成都市金牛区人民北路一段8号5栋23层12号</w:t>
            </w:r>
          </w:p>
          <w:p>
            <w:pPr>
              <w:rPr>
                <w:rFonts w:hint="default" w:ascii="华文宋体" w:hAnsi="华文宋体" w:eastAsia="华文宋体"/>
                <w:szCs w:val="21"/>
                <w:lang w:val="en-US" w:eastAsia="zh-CN"/>
              </w:rPr>
            </w:pPr>
            <w:r>
              <w:rPr>
                <w:rFonts w:hint="eastAsia" w:ascii="华文宋体" w:hAnsi="华文宋体" w:eastAsia="华文宋体"/>
                <w:szCs w:val="21"/>
                <w:lang w:val="en-US" w:eastAsia="zh-CN"/>
              </w:rPr>
              <w:t>变更为：</w:t>
            </w:r>
            <w:r>
              <w:rPr>
                <w:rFonts w:hint="eastAsia" w:ascii="华文宋体" w:hAnsi="华文宋体" w:eastAsia="华文宋体"/>
                <w:szCs w:val="21"/>
              </w:rPr>
              <w:t>四川省成都市锦江区庆云南街69号红星国际2栋405室</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lang w:eastAsia="zh-CN"/>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rFonts w:hint="default" w:eastAsia="宋体"/>
                <w:color w:val="000000"/>
                <w:szCs w:val="21"/>
                <w:u w:val="single"/>
                <w:lang w:val="en-US" w:eastAsia="zh-CN"/>
              </w:rPr>
            </w:pPr>
            <w:r>
              <w:rPr>
                <w:rFonts w:hint="eastAsia"/>
                <w:color w:val="000000"/>
              </w:rPr>
              <w:t>现场1：</w:t>
            </w:r>
            <w:r>
              <w:rPr>
                <w:rFonts w:hint="eastAsia"/>
                <w:color w:val="000000"/>
                <w:lang w:val="en-US" w:eastAsia="zh-CN"/>
              </w:rPr>
              <w:t>项目名称：</w:t>
            </w:r>
            <w:r>
              <w:rPr>
                <w:rFonts w:hint="eastAsia" w:ascii="宋体" w:hAnsi="宋体"/>
                <w:color w:val="000000"/>
                <w:szCs w:val="21"/>
              </w:rPr>
              <w:t>阆中机场场外配套道路及排水工程项目变形监测</w:t>
            </w:r>
            <w:r>
              <w:rPr>
                <w:rFonts w:hint="eastAsia" w:ascii="宋体" w:hAnsi="宋体"/>
                <w:color w:val="000000"/>
                <w:szCs w:val="21"/>
                <w:lang w:eastAsia="zh-CN"/>
              </w:rPr>
              <w:t>；</w:t>
            </w:r>
            <w:r>
              <w:rPr>
                <w:rFonts w:hint="eastAsia" w:ascii="宋体" w:hAnsi="宋体"/>
                <w:color w:val="000000"/>
                <w:szCs w:val="21"/>
                <w:lang w:val="en-US" w:eastAsia="zh-CN"/>
              </w:rPr>
              <w:t>地址：</w:t>
            </w:r>
            <w:r>
              <w:rPr>
                <w:rFonts w:hint="eastAsia" w:ascii="宋体" w:hAnsi="宋体"/>
                <w:color w:val="000000"/>
                <w:szCs w:val="21"/>
              </w:rPr>
              <w:t>阆中市江东新城片区</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sym w:font="Wingdings" w:char="00A8"/>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p>
            <w:pPr>
              <w:rPr>
                <w:color w:val="000000"/>
              </w:rPr>
            </w:pPr>
            <w:r>
              <w:rPr>
                <w:rFonts w:hint="eastAsia" w:ascii="Times New Roman" w:hAnsi="Times New Roman" w:eastAsia="宋体" w:cs="Times New Roman"/>
                <w:color w:val="000000"/>
                <w:lang w:val="en-US" w:eastAsia="zh-CN"/>
              </w:rPr>
              <w:t>服务流程：</w:t>
            </w:r>
            <w:r>
              <w:rPr>
                <w:rFonts w:hint="eastAsia" w:ascii="Times New Roman" w:hAnsi="Times New Roman" w:eastAsia="宋体" w:cs="Times New Roman"/>
                <w:b/>
                <w:bCs w:val="0"/>
                <w:spacing w:val="0"/>
                <w:kern w:val="2"/>
                <w:sz w:val="20"/>
                <w:lang w:val="en-US" w:eastAsia="zh-CN" w:bidi="ar-SA"/>
              </w:rPr>
              <w:t>合同签订→收集资料→现场测绘→编制、绘图→编制项目报告（文本、图件）→变更（需要时）→交付客户。</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21</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4</w:t>
            </w:r>
            <w:r>
              <w:rPr>
                <w:rFonts w:hint="eastAsia"/>
                <w:color w:val="000000"/>
                <w:szCs w:val="21"/>
              </w:rPr>
              <w:t>人</w:t>
            </w:r>
            <w:r>
              <w:rPr>
                <w:rFonts w:hint="eastAsia"/>
                <w:color w:val="000000"/>
                <w:szCs w:val="18"/>
              </w:rPr>
              <w:t>；操作人员</w:t>
            </w:r>
            <w:r>
              <w:rPr>
                <w:rFonts w:hint="eastAsia"/>
                <w:color w:val="000000"/>
                <w:szCs w:val="18"/>
                <w:lang w:val="en-US" w:eastAsia="zh-CN"/>
              </w:rPr>
              <w:t>17</w:t>
            </w:r>
            <w:r>
              <w:rPr>
                <w:rFonts w:hint="eastAsia"/>
                <w:color w:val="000000"/>
                <w:szCs w:val="21"/>
              </w:rPr>
              <w:t>人</w:t>
            </w:r>
            <w:r>
              <w:rPr>
                <w:rFonts w:hint="eastAsia"/>
                <w:color w:val="000000"/>
                <w:szCs w:val="18"/>
              </w:rPr>
              <w:t>；劳务派遣人员</w:t>
            </w:r>
            <w:r>
              <w:rPr>
                <w:rFonts w:hint="eastAsia"/>
                <w:color w:val="000000"/>
                <w:szCs w:val="18"/>
                <w:lang w:val="en-US" w:eastAsia="zh-CN"/>
              </w:rPr>
              <w:t>0</w:t>
            </w:r>
            <w:r>
              <w:rPr>
                <w:rFonts w:hint="eastAsia"/>
                <w:color w:val="000000"/>
                <w:szCs w:val="21"/>
              </w:rPr>
              <w:t>人</w:t>
            </w:r>
            <w:r>
              <w:rPr>
                <w:rFonts w:hint="eastAsia"/>
                <w:color w:val="000000"/>
                <w:szCs w:val="18"/>
              </w:rPr>
              <w:t>；临时工</w:t>
            </w:r>
            <w:r>
              <w:rPr>
                <w:rFonts w:hint="eastAsia"/>
                <w:color w:val="000000"/>
                <w:szCs w:val="18"/>
                <w:lang w:val="en-US" w:eastAsia="zh-CN"/>
              </w:rPr>
              <w:t>0</w:t>
            </w:r>
            <w:r>
              <w:rPr>
                <w:rFonts w:hint="eastAsia"/>
                <w:color w:val="000000"/>
                <w:szCs w:val="21"/>
              </w:rPr>
              <w:t>人</w:t>
            </w:r>
            <w:r>
              <w:rPr>
                <w:rFonts w:hint="eastAsia"/>
                <w:color w:val="000000"/>
                <w:szCs w:val="18"/>
              </w:rPr>
              <w:t>；</w:t>
            </w:r>
            <w:r>
              <w:rPr>
                <w:rFonts w:hint="eastAsia"/>
                <w:color w:val="000000"/>
                <w:szCs w:val="21"/>
              </w:rPr>
              <w:t>季节工</w:t>
            </w:r>
            <w:r>
              <w:rPr>
                <w:rFonts w:hint="eastAsia"/>
                <w:color w:val="000000"/>
                <w:szCs w:val="21"/>
                <w:lang w:val="en-US" w:eastAsia="zh-CN"/>
              </w:rPr>
              <w:t>0</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lang w:eastAsia="zh-CN"/>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管理手册发布的时间：2022年</w:t>
            </w:r>
            <w:r>
              <w:rPr>
                <w:rFonts w:hint="eastAsia"/>
                <w:color w:val="000000"/>
                <w:szCs w:val="18"/>
                <w:lang w:val="en-US" w:eastAsia="zh-CN"/>
              </w:rPr>
              <w:t>11</w:t>
            </w:r>
            <w:r>
              <w:rPr>
                <w:rFonts w:hint="eastAsia"/>
                <w:color w:val="000000"/>
                <w:szCs w:val="18"/>
              </w:rPr>
              <w:t>月</w:t>
            </w:r>
            <w:r>
              <w:rPr>
                <w:rFonts w:hint="eastAsia"/>
                <w:color w:val="000000"/>
                <w:szCs w:val="18"/>
                <w:lang w:val="en-US" w:eastAsia="zh-CN"/>
              </w:rPr>
              <w:t>1</w:t>
            </w:r>
            <w:r>
              <w:rPr>
                <w:rFonts w:hint="eastAsia"/>
                <w:color w:val="000000"/>
                <w:szCs w:val="18"/>
              </w:rPr>
              <w:t>日</w:t>
            </w:r>
          </w:p>
          <w:p>
            <w:pPr>
              <w:rPr>
                <w:color w:val="000000"/>
              </w:rPr>
            </w:pPr>
            <w:r>
              <w:rPr>
                <w:rFonts w:hint="eastAsia"/>
                <w:color w:val="000000"/>
                <w:szCs w:val="21"/>
                <w:lang w:eastAsia="zh-CN"/>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标准宣贯的时间：2022年</w:t>
            </w:r>
            <w:r>
              <w:rPr>
                <w:rFonts w:hint="eastAsia"/>
                <w:color w:val="000000"/>
                <w:szCs w:val="18"/>
                <w:lang w:val="en-US" w:eastAsia="zh-CN"/>
              </w:rPr>
              <w:t>11</w:t>
            </w:r>
            <w:r>
              <w:rPr>
                <w:rFonts w:hint="eastAsia"/>
                <w:color w:val="000000"/>
                <w:szCs w:val="18"/>
              </w:rPr>
              <w:t>月</w:t>
            </w:r>
            <w:r>
              <w:rPr>
                <w:rFonts w:hint="eastAsia"/>
                <w:color w:val="000000"/>
                <w:szCs w:val="18"/>
                <w:lang w:val="en-US" w:eastAsia="zh-CN"/>
              </w:rPr>
              <w:t>1</w:t>
            </w:r>
            <w:r>
              <w:rPr>
                <w:rFonts w:hint="eastAsia"/>
                <w:color w:val="000000"/>
                <w:szCs w:val="18"/>
              </w:rPr>
              <w:t>日</w:t>
            </w:r>
          </w:p>
          <w:p>
            <w:pPr>
              <w:rPr>
                <w:color w:val="000000"/>
                <w:szCs w:val="21"/>
              </w:rPr>
            </w:pPr>
            <w:r>
              <w:rPr>
                <w:rFonts w:hint="eastAsia"/>
                <w:color w:val="000000"/>
                <w:szCs w:val="21"/>
                <w:lang w:eastAsia="zh-CN"/>
              </w:rPr>
              <w:t>☑</w:t>
            </w:r>
            <w:r>
              <w:rPr>
                <w:rFonts w:hint="eastAsia"/>
                <w:color w:val="000000"/>
                <w:szCs w:val="21"/>
              </w:rPr>
              <w:t xml:space="preserve">QMS  </w:t>
            </w:r>
            <w:r>
              <w:rPr>
                <w:rFonts w:hint="eastAsia"/>
                <w:color w:val="000000"/>
                <w:szCs w:val="21"/>
                <w:lang w:eastAsia="zh-CN"/>
              </w:rPr>
              <w:t>☑</w:t>
            </w:r>
            <w:r>
              <w:rPr>
                <w:rFonts w:hint="eastAsia"/>
                <w:color w:val="000000"/>
                <w:szCs w:val="21"/>
              </w:rPr>
              <w:t xml:space="preserve">EMS  </w:t>
            </w:r>
            <w:r>
              <w:rPr>
                <w:rFonts w:hint="eastAsia"/>
                <w:color w:val="000000"/>
                <w:szCs w:val="21"/>
                <w:lang w:eastAsia="zh-CN"/>
              </w:rPr>
              <w:t>☑</w:t>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lang w:eastAsia="zh-CN"/>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w:t>
            </w:r>
            <w:r>
              <w:rPr>
                <w:rFonts w:hint="eastAsia"/>
                <w:color w:val="000000"/>
                <w:szCs w:val="21"/>
                <w:lang w:eastAsia="zh-CN"/>
              </w:rPr>
              <w:t>☑</w:t>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shd w:val="pct10" w:color="auto" w:fill="FFFFFF"/>
              </w:rPr>
            </w:pPr>
            <w:r>
              <w:rPr>
                <w:rFonts w:hint="eastAsia"/>
                <w:color w:val="000000"/>
                <w:szCs w:val="18"/>
                <w:highlight w:val="none"/>
                <w:shd w:val="pct10" w:color="auto" w:fill="FFFFFF"/>
              </w:rPr>
              <w:t>了解企业基本情况：</w:t>
            </w:r>
          </w:p>
          <w:p>
            <w:pPr>
              <w:rPr>
                <w:color w:val="000000"/>
                <w:highlight w:val="none"/>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highlight w:val="none"/>
              </w:rPr>
            </w:pPr>
            <w:r>
              <w:rPr>
                <w:rFonts w:hint="eastAsia"/>
                <w:color w:val="000000"/>
                <w:szCs w:val="18"/>
                <w:highlight w:val="none"/>
              </w:rPr>
              <w:t>- 主要的内部环境和外部环境分析的充分性</w:t>
            </w:r>
          </w:p>
          <w:p>
            <w:pPr>
              <w:widowControl/>
              <w:ind w:firstLine="420" w:firstLineChars="200"/>
              <w:jc w:val="left"/>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已实施   </w:t>
            </w:r>
            <w:r>
              <w:rPr>
                <w:rFonts w:ascii="Wingdings" w:hAnsi="Wingdings"/>
                <w:color w:val="000000"/>
                <w:highlight w:val="none"/>
              </w:rPr>
              <w:t>¨</w:t>
            </w:r>
            <w:r>
              <w:rPr>
                <w:rFonts w:hint="eastAsia"/>
                <w:color w:val="000000"/>
                <w:highlight w:val="none"/>
              </w:rPr>
              <w:t xml:space="preserve">不充分，需要完善： </w:t>
            </w:r>
          </w:p>
          <w:p>
            <w:pPr>
              <w:widowControl/>
              <w:jc w:val="left"/>
              <w:rPr>
                <w:color w:val="000000"/>
                <w:szCs w:val="18"/>
                <w:highlight w:val="none"/>
              </w:rPr>
            </w:pPr>
          </w:p>
          <w:p>
            <w:pPr>
              <w:widowControl/>
              <w:jc w:val="left"/>
              <w:rPr>
                <w:color w:val="000000"/>
                <w:szCs w:val="18"/>
                <w:highlight w:val="none"/>
              </w:rPr>
            </w:pPr>
            <w:r>
              <w:rPr>
                <w:rFonts w:hint="eastAsia"/>
                <w:color w:val="000000"/>
                <w:szCs w:val="18"/>
                <w:highlight w:val="none"/>
              </w:rPr>
              <w:t>- 主要的相关方和期望的充分性</w:t>
            </w:r>
          </w:p>
          <w:p>
            <w:pPr>
              <w:widowControl/>
              <w:ind w:firstLine="420" w:firstLineChars="200"/>
              <w:jc w:val="left"/>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已实施   </w:t>
            </w:r>
            <w:r>
              <w:rPr>
                <w:rFonts w:ascii="Wingdings" w:hAnsi="Wingdings"/>
                <w:color w:val="000000"/>
                <w:highlight w:val="none"/>
              </w:rPr>
              <w:t>¨</w:t>
            </w:r>
            <w:r>
              <w:rPr>
                <w:rFonts w:hint="eastAsia"/>
                <w:color w:val="000000"/>
                <w:highlight w:val="none"/>
              </w:rPr>
              <w:t xml:space="preserve">不充分，需要完善： </w:t>
            </w:r>
          </w:p>
          <w:p>
            <w:pPr>
              <w:widowControl/>
              <w:jc w:val="left"/>
              <w:rPr>
                <w:color w:val="000000"/>
                <w:highlight w:val="none"/>
                <w:u w:val="single"/>
              </w:rPr>
            </w:pPr>
          </w:p>
          <w:p>
            <w:pPr>
              <w:widowControl/>
              <w:jc w:val="left"/>
              <w:rPr>
                <w:color w:val="000000"/>
                <w:szCs w:val="18"/>
                <w:highlight w:val="none"/>
              </w:rPr>
            </w:pPr>
            <w:r>
              <w:rPr>
                <w:rFonts w:hint="eastAsia"/>
                <w:color w:val="000000"/>
                <w:szCs w:val="18"/>
                <w:highlight w:val="none"/>
              </w:rPr>
              <w:t>- 确定风险的识别和评价</w:t>
            </w:r>
          </w:p>
          <w:p>
            <w:pPr>
              <w:widowControl/>
              <w:ind w:firstLine="420" w:firstLineChars="200"/>
              <w:jc w:val="left"/>
              <w:rPr>
                <w:color w:val="000000"/>
                <w:szCs w:val="18"/>
                <w:highlight w:val="none"/>
              </w:rPr>
            </w:pPr>
            <w:r>
              <w:rPr>
                <w:rFonts w:ascii="Wingdings" w:hAnsi="Wingdings"/>
                <w:color w:val="000000"/>
                <w:highlight w:val="none"/>
              </w:rPr>
              <w:sym w:font="Wingdings" w:char="00FE"/>
            </w:r>
            <w:r>
              <w:rPr>
                <w:rFonts w:hint="eastAsia"/>
                <w:color w:val="000000"/>
                <w:highlight w:val="none"/>
              </w:rPr>
              <w:t xml:space="preserve">已实施   </w:t>
            </w:r>
            <w:r>
              <w:rPr>
                <w:rFonts w:ascii="Wingdings" w:hAnsi="Wingdings"/>
                <w:color w:val="000000"/>
                <w:highlight w:val="none"/>
              </w:rPr>
              <w:t>¨</w:t>
            </w:r>
            <w:r>
              <w:rPr>
                <w:rFonts w:hint="eastAsia"/>
                <w:color w:val="000000"/>
                <w:highlight w:val="none"/>
              </w:rPr>
              <w:t xml:space="preserve">不充分，需要完善： </w:t>
            </w:r>
          </w:p>
          <w:p>
            <w:pPr>
              <w:widowControl/>
              <w:jc w:val="left"/>
              <w:rPr>
                <w:color w:val="000000"/>
                <w:szCs w:val="18"/>
                <w:highlight w:val="none"/>
              </w:rPr>
            </w:pPr>
          </w:p>
          <w:p>
            <w:pPr>
              <w:widowControl/>
              <w:jc w:val="left"/>
              <w:rPr>
                <w:color w:val="000000"/>
                <w:szCs w:val="18"/>
                <w:highlight w:val="none"/>
              </w:rPr>
            </w:pPr>
            <w:r>
              <w:rPr>
                <w:rFonts w:hint="eastAsia"/>
                <w:color w:val="000000"/>
                <w:szCs w:val="18"/>
                <w:highlight w:val="none"/>
              </w:rPr>
              <w:t>- 组织机构设置、职责分配及沟通</w:t>
            </w:r>
          </w:p>
          <w:p>
            <w:pPr>
              <w:widowControl/>
              <w:ind w:firstLine="420" w:firstLineChars="200"/>
              <w:jc w:val="left"/>
              <w:rPr>
                <w:color w:val="000000"/>
                <w:szCs w:val="18"/>
                <w:highlight w:val="none"/>
              </w:rPr>
            </w:pPr>
            <w:r>
              <w:rPr>
                <w:rFonts w:ascii="Wingdings" w:hAnsi="Wingdings"/>
                <w:color w:val="000000"/>
                <w:highlight w:val="none"/>
              </w:rPr>
              <w:sym w:font="Wingdings" w:char="00FE"/>
            </w:r>
            <w:r>
              <w:rPr>
                <w:rFonts w:hint="eastAsia"/>
                <w:color w:val="000000"/>
                <w:highlight w:val="none"/>
              </w:rPr>
              <w:t xml:space="preserve">已实施   </w:t>
            </w:r>
            <w:r>
              <w:rPr>
                <w:rFonts w:ascii="Wingdings" w:hAnsi="Wingdings"/>
                <w:color w:val="000000"/>
                <w:highlight w:val="none"/>
              </w:rPr>
              <w:t>¨</w:t>
            </w:r>
            <w:r>
              <w:rPr>
                <w:rFonts w:hint="eastAsia"/>
                <w:color w:val="000000"/>
                <w:highlight w:val="none"/>
              </w:rPr>
              <w:t xml:space="preserve">不充分，需要完善： </w:t>
            </w:r>
          </w:p>
          <w:p>
            <w:pPr>
              <w:widowControl/>
              <w:jc w:val="left"/>
              <w:rPr>
                <w:color w:val="000000"/>
                <w:szCs w:val="18"/>
                <w:highlight w:val="none"/>
              </w:rPr>
            </w:pPr>
          </w:p>
          <w:p>
            <w:pPr>
              <w:widowControl/>
              <w:jc w:val="left"/>
              <w:rPr>
                <w:rFonts w:hint="eastAsia" w:eastAsia="宋体"/>
                <w:color w:val="000000"/>
                <w:szCs w:val="18"/>
                <w:highlight w:val="none"/>
                <w:lang w:eastAsia="zh-CN"/>
              </w:rPr>
            </w:pPr>
            <w:r>
              <w:rPr>
                <w:rFonts w:hint="eastAsia"/>
                <w:color w:val="000000"/>
                <w:szCs w:val="18"/>
                <w:highlight w:val="none"/>
              </w:rPr>
              <w:t>- 确定外部提供过程、产品和服务（外包过程）：</w:t>
            </w:r>
            <w:r>
              <w:rPr>
                <w:rFonts w:hint="eastAsia"/>
                <w:color w:val="000000"/>
                <w:szCs w:val="18"/>
                <w:highlight w:val="none"/>
                <w:lang w:eastAsia="zh-CN"/>
              </w:rPr>
              <w:t>无</w:t>
            </w:r>
          </w:p>
          <w:p>
            <w:pPr>
              <w:widowControl/>
              <w:jc w:val="left"/>
              <w:rPr>
                <w:color w:val="000000"/>
                <w:szCs w:val="18"/>
                <w:highlight w:val="none"/>
              </w:rPr>
            </w:pPr>
          </w:p>
          <w:p>
            <w:pPr>
              <w:widowControl/>
              <w:jc w:val="left"/>
              <w:rPr>
                <w:color w:val="000000"/>
                <w:szCs w:val="18"/>
                <w:highlight w:val="none"/>
              </w:rPr>
            </w:pPr>
          </w:p>
          <w:p>
            <w:pPr>
              <w:widowControl/>
              <w:jc w:val="left"/>
              <w:rPr>
                <w:color w:val="000000"/>
                <w:szCs w:val="18"/>
                <w:highlight w:val="none"/>
              </w:rPr>
            </w:pPr>
            <w:r>
              <w:rPr>
                <w:rFonts w:hint="eastAsia"/>
                <w:color w:val="000000"/>
                <w:szCs w:val="18"/>
                <w:highlight w:val="none"/>
              </w:rPr>
              <w:t>- 被主管部门处罚和曝光情况</w:t>
            </w:r>
          </w:p>
          <w:p>
            <w:pPr>
              <w:widowControl/>
              <w:ind w:firstLine="420" w:firstLineChars="200"/>
              <w:jc w:val="left"/>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未发生   </w:t>
            </w:r>
            <w:r>
              <w:rPr>
                <w:rFonts w:ascii="Wingdings" w:hAnsi="Wingdings"/>
                <w:color w:val="000000"/>
                <w:highlight w:val="none"/>
              </w:rPr>
              <w:t>¨</w:t>
            </w:r>
            <w:r>
              <w:rPr>
                <w:rFonts w:hint="eastAsia"/>
                <w:color w:val="000000"/>
                <w:highlight w:val="none"/>
              </w:rPr>
              <w:t xml:space="preserve">已发生，说明： </w:t>
            </w:r>
          </w:p>
          <w:p>
            <w:pPr>
              <w:widowControl/>
              <w:jc w:val="left"/>
              <w:rPr>
                <w:color w:val="000000"/>
                <w:szCs w:val="18"/>
                <w:highlight w:val="none"/>
              </w:rPr>
            </w:pPr>
          </w:p>
          <w:p>
            <w:pPr>
              <w:rPr>
                <w:color w:val="000000"/>
                <w:szCs w:val="18"/>
                <w:highlight w:val="none"/>
              </w:rPr>
            </w:pPr>
            <w:r>
              <w:rPr>
                <w:rFonts w:hint="eastAsia"/>
                <w:color w:val="000000"/>
                <w:szCs w:val="18"/>
                <w:highlight w:val="none"/>
              </w:rPr>
              <w:t>- 其他机构转入情况（适用时）</w:t>
            </w:r>
          </w:p>
          <w:p>
            <w:pPr>
              <w:ind w:firstLine="210" w:firstLineChars="100"/>
              <w:rPr>
                <w:color w:val="000000"/>
                <w:szCs w:val="18"/>
                <w:highlight w:val="none"/>
              </w:rPr>
            </w:pPr>
            <w:r>
              <w:rPr>
                <w:rFonts w:ascii="Wingdings" w:hAnsi="Wingdings"/>
                <w:color w:val="000000"/>
                <w:highlight w:val="none"/>
              </w:rPr>
              <w:t>¨</w:t>
            </w:r>
            <w:r>
              <w:rPr>
                <w:rFonts w:hint="eastAsia"/>
                <w:color w:val="000000"/>
                <w:highlight w:val="none"/>
              </w:rPr>
              <w:t xml:space="preserve">已收集到以往的不符合项   </w:t>
            </w:r>
            <w:r>
              <w:rPr>
                <w:rFonts w:ascii="Wingdings" w:hAnsi="Wingdings"/>
                <w:color w:val="000000"/>
                <w:highlight w:val="none"/>
              </w:rPr>
              <w:t>¨</w:t>
            </w:r>
            <w:r>
              <w:rPr>
                <w:rFonts w:hint="eastAsia"/>
                <w:color w:val="000000"/>
                <w:highlight w:val="none"/>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lang w:eastAsia="zh-CN"/>
              </w:rPr>
              <w:t>☑</w:t>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p>
          <w:p>
            <w:pPr>
              <w:widowControl/>
              <w:spacing w:before="40"/>
              <w:jc w:val="left"/>
              <w:rPr>
                <w:color w:val="000000"/>
                <w:spacing w:val="-2"/>
                <w:szCs w:val="21"/>
              </w:rPr>
            </w:pPr>
            <w:r>
              <w:rPr>
                <w:rFonts w:hint="eastAsia"/>
                <w:color w:val="000000"/>
                <w:szCs w:val="18"/>
              </w:rPr>
              <w:t>贯彻情况：</w:t>
            </w:r>
            <w:r>
              <w:rPr>
                <w:rFonts w:hint="eastAsia"/>
                <w:color w:val="000000"/>
                <w:szCs w:val="21"/>
                <w:lang w:eastAsia="zh-CN"/>
              </w:rPr>
              <w:t>☑</w:t>
            </w:r>
            <w:r>
              <w:rPr>
                <w:rFonts w:hint="eastAsia"/>
                <w:color w:val="000000"/>
                <w:spacing w:val="-2"/>
                <w:szCs w:val="21"/>
              </w:rPr>
              <w:t>文件发放</w:t>
            </w:r>
            <w:r>
              <w:rPr>
                <w:rFonts w:hint="eastAsia"/>
                <w:color w:val="000000"/>
                <w:szCs w:val="21"/>
                <w:lang w:eastAsia="zh-CN"/>
              </w:rPr>
              <w:t>☑</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1236"/>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tcPr>
                <w:p>
                  <w:pPr>
                    <w:widowControl/>
                    <w:spacing w:before="40"/>
                    <w:jc w:val="left"/>
                    <w:rPr>
                      <w:color w:val="000000"/>
                      <w:szCs w:val="18"/>
                    </w:rPr>
                  </w:pPr>
                  <w:r>
                    <w:rPr>
                      <w:rFonts w:hint="eastAsia"/>
                      <w:color w:val="000000"/>
                      <w:szCs w:val="18"/>
                    </w:rPr>
                    <w:t>目标</w:t>
                  </w:r>
                </w:p>
              </w:tc>
              <w:tc>
                <w:tcPr>
                  <w:tcW w:w="1236"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vAlign w:val="center"/>
                </w:tcPr>
                <w:p>
                  <w:pPr>
                    <w:widowControl/>
                    <w:jc w:val="left"/>
                    <w:rPr>
                      <w:rFonts w:hint="eastAsia" w:ascii="Times New Roman" w:hAnsi="Times New Roman" w:eastAsia="宋体" w:cs="Times New Roman"/>
                      <w:color w:val="000000"/>
                      <w:szCs w:val="18"/>
                    </w:rPr>
                  </w:pPr>
                  <w:r>
                    <w:rPr>
                      <w:rFonts w:hint="eastAsia" w:ascii="宋体" w:hAnsi="宋体"/>
                      <w:szCs w:val="21"/>
                    </w:rPr>
                    <w:t>客户满意度≥90分</w:t>
                  </w:r>
                </w:p>
              </w:tc>
              <w:tc>
                <w:tcPr>
                  <w:tcW w:w="1236" w:type="dxa"/>
                  <w:vAlign w:val="center"/>
                </w:tcPr>
                <w:p>
                  <w:pPr>
                    <w:widowControl/>
                    <w:spacing w:before="40"/>
                    <w:jc w:val="left"/>
                    <w:rPr>
                      <w:rFonts w:hint="eastAsia" w:ascii="Times New Roman" w:hAnsi="Times New Roman" w:eastAsia="宋体" w:cs="Times New Roman"/>
                      <w:color w:val="000000"/>
                      <w:szCs w:val="18"/>
                      <w:lang w:eastAsia="zh-CN"/>
                    </w:rPr>
                  </w:pPr>
                  <w:r>
                    <w:rPr>
                      <w:rFonts w:hint="eastAsia" w:ascii="Times New Roman" w:hAnsi="Times New Roman" w:eastAsia="宋体" w:cs="Times New Roman"/>
                      <w:color w:val="000000"/>
                      <w:szCs w:val="18"/>
                    </w:rPr>
                    <w:t>1次/</w:t>
                  </w:r>
                  <w:r>
                    <w:rPr>
                      <w:rFonts w:hint="eastAsia" w:ascii="Times New Roman" w:hAnsi="Times New Roman" w:eastAsia="宋体" w:cs="Times New Roman"/>
                      <w:color w:val="000000"/>
                      <w:szCs w:val="18"/>
                      <w:lang w:val="en-US" w:eastAsia="zh-CN"/>
                    </w:rPr>
                    <w:t>年</w:t>
                  </w:r>
                </w:p>
              </w:tc>
              <w:tc>
                <w:tcPr>
                  <w:tcW w:w="3499" w:type="dxa"/>
                  <w:vAlign w:val="center"/>
                </w:tcPr>
                <w:p>
                  <w:pPr>
                    <w:widowControl/>
                    <w:jc w:val="left"/>
                    <w:rPr>
                      <w:rFonts w:hint="eastAsia" w:ascii="Times New Roman" w:hAnsi="Times New Roman" w:eastAsia="宋体" w:cs="Times New Roman"/>
                      <w:color w:val="000000"/>
                      <w:szCs w:val="18"/>
                      <w:lang w:val="en-US" w:eastAsia="zh-CN"/>
                    </w:rPr>
                  </w:pPr>
                  <w:r>
                    <w:rPr>
                      <w:rFonts w:hint="eastAsia" w:ascii="宋体" w:hAnsi="宋体"/>
                      <w:szCs w:val="21"/>
                    </w:rPr>
                    <w:t xml:space="preserve">顾客满意数/顾客总数 </w:t>
                  </w:r>
                </w:p>
              </w:tc>
              <w:tc>
                <w:tcPr>
                  <w:tcW w:w="2444" w:type="dxa"/>
                  <w:vAlign w:val="top"/>
                </w:tcPr>
                <w:p>
                  <w:pPr>
                    <w:spacing w:line="360" w:lineRule="auto"/>
                    <w:jc w:val="left"/>
                    <w:rPr>
                      <w:rFonts w:hint="eastAsia" w:ascii="Times New Roman" w:hAnsi="Times New Roman" w:eastAsia="宋体" w:cs="Times New Roman"/>
                      <w:color w:val="000000"/>
                      <w:szCs w:val="18"/>
                      <w:lang w:val="en-US" w:eastAsia="zh-CN"/>
                    </w:rPr>
                  </w:pPr>
                  <w:r>
                    <w:rPr>
                      <w:rFonts w:hint="eastAsia" w:ascii="宋体" w:hAnsi="宋体"/>
                      <w:szCs w:val="21"/>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vAlign w:val="center"/>
                </w:tcPr>
                <w:p>
                  <w:pPr>
                    <w:widowControl/>
                    <w:jc w:val="left"/>
                    <w:rPr>
                      <w:rFonts w:hint="eastAsia" w:ascii="Times New Roman" w:hAnsi="Times New Roman" w:eastAsia="宋体" w:cs="Times New Roman"/>
                      <w:color w:val="000000"/>
                      <w:szCs w:val="18"/>
                      <w:lang w:eastAsia="zh-CN"/>
                    </w:rPr>
                  </w:pPr>
                  <w:r>
                    <w:rPr>
                      <w:rFonts w:hint="eastAsia" w:ascii="宋体" w:hAnsi="宋体"/>
                      <w:szCs w:val="21"/>
                    </w:rPr>
                    <w:t>项目一次交付合格率100%</w:t>
                  </w:r>
                </w:p>
              </w:tc>
              <w:tc>
                <w:tcPr>
                  <w:tcW w:w="1236" w:type="dxa"/>
                  <w:vAlign w:val="center"/>
                </w:tcPr>
                <w:p>
                  <w:pPr>
                    <w:widowControl/>
                    <w:spacing w:before="40"/>
                    <w:jc w:val="left"/>
                    <w:rPr>
                      <w:rFonts w:hint="eastAsia" w:ascii="Times New Roman" w:hAnsi="Times New Roman" w:eastAsia="宋体" w:cs="Times New Roman"/>
                      <w:color w:val="000000"/>
                      <w:szCs w:val="18"/>
                      <w:lang w:eastAsia="zh-CN"/>
                    </w:rPr>
                  </w:pPr>
                  <w:r>
                    <w:rPr>
                      <w:rFonts w:hint="eastAsia" w:ascii="Times New Roman" w:hAnsi="Times New Roman" w:eastAsia="宋体" w:cs="Times New Roman"/>
                      <w:color w:val="000000"/>
                      <w:szCs w:val="18"/>
                    </w:rPr>
                    <w:t>1次/季</w:t>
                  </w:r>
                </w:p>
              </w:tc>
              <w:tc>
                <w:tcPr>
                  <w:tcW w:w="3499" w:type="dxa"/>
                  <w:vAlign w:val="center"/>
                </w:tcPr>
                <w:p>
                  <w:pPr>
                    <w:widowControl/>
                    <w:jc w:val="left"/>
                    <w:rPr>
                      <w:rFonts w:hint="eastAsia" w:ascii="Times New Roman" w:hAnsi="Times New Roman" w:eastAsia="宋体" w:cs="Times New Roman"/>
                      <w:color w:val="000000"/>
                      <w:szCs w:val="18"/>
                      <w:lang w:val="en-US" w:eastAsia="zh-CN"/>
                    </w:rPr>
                  </w:pPr>
                  <w:r>
                    <w:rPr>
                      <w:rFonts w:hint="eastAsia" w:ascii="宋体" w:hAnsi="宋体"/>
                      <w:szCs w:val="21"/>
                    </w:rPr>
                    <w:t>项目交付合格数/交付总数×100%</w:t>
                  </w:r>
                </w:p>
              </w:tc>
              <w:tc>
                <w:tcPr>
                  <w:tcW w:w="2444" w:type="dxa"/>
                  <w:vAlign w:val="center"/>
                </w:tcPr>
                <w:p>
                  <w:pPr>
                    <w:rPr>
                      <w:rFonts w:hint="eastAsia" w:ascii="Times New Roman" w:hAnsi="Times New Roman" w:eastAsia="宋体" w:cs="Times New Roman"/>
                      <w:color w:val="000000"/>
                      <w:szCs w:val="18"/>
                      <w:lang w:val="en-US" w:eastAsia="zh-CN"/>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vAlign w:val="center"/>
                </w:tcPr>
                <w:p>
                  <w:pPr>
                    <w:widowControl/>
                    <w:jc w:val="left"/>
                    <w:rPr>
                      <w:rFonts w:hint="eastAsia" w:ascii="Times New Roman" w:hAnsi="Times New Roman" w:eastAsia="宋体" w:cs="Times New Roman"/>
                      <w:color w:val="000000"/>
                      <w:szCs w:val="18"/>
                    </w:rPr>
                  </w:pPr>
                  <w:r>
                    <w:rPr>
                      <w:rFonts w:hint="eastAsia" w:ascii="宋体" w:hAnsi="宋体"/>
                      <w:szCs w:val="21"/>
                    </w:rPr>
                    <w:t>合同履约率100%</w:t>
                  </w:r>
                </w:p>
              </w:tc>
              <w:tc>
                <w:tcPr>
                  <w:tcW w:w="1236" w:type="dxa"/>
                  <w:vAlign w:val="center"/>
                </w:tcPr>
                <w:p>
                  <w:pPr>
                    <w:widowControl/>
                    <w:spacing w:before="40"/>
                    <w:jc w:val="left"/>
                    <w:rPr>
                      <w:rFonts w:hint="eastAsia" w:ascii="Times New Roman" w:hAnsi="Times New Roman" w:eastAsia="宋体" w:cs="Times New Roman"/>
                      <w:color w:val="000000"/>
                      <w:szCs w:val="18"/>
                      <w:lang w:eastAsia="zh-CN"/>
                    </w:rPr>
                  </w:pPr>
                  <w:r>
                    <w:rPr>
                      <w:rFonts w:hint="eastAsia" w:ascii="Times New Roman" w:hAnsi="Times New Roman" w:eastAsia="宋体" w:cs="Times New Roman"/>
                      <w:color w:val="000000"/>
                      <w:szCs w:val="18"/>
                    </w:rPr>
                    <w:t>1次/年</w:t>
                  </w:r>
                </w:p>
              </w:tc>
              <w:tc>
                <w:tcPr>
                  <w:tcW w:w="3499" w:type="dxa"/>
                  <w:vAlign w:val="center"/>
                </w:tcPr>
                <w:p>
                  <w:pPr>
                    <w:widowControl/>
                    <w:jc w:val="left"/>
                    <w:rPr>
                      <w:rFonts w:hint="eastAsia" w:ascii="Times New Roman" w:hAnsi="Times New Roman" w:eastAsia="宋体" w:cs="Times New Roman"/>
                      <w:color w:val="000000"/>
                      <w:szCs w:val="18"/>
                      <w:lang w:val="en-US" w:eastAsia="zh-CN"/>
                    </w:rPr>
                  </w:pPr>
                  <w:r>
                    <w:rPr>
                      <w:rFonts w:hint="eastAsia" w:ascii="宋体" w:hAnsi="宋体"/>
                      <w:szCs w:val="21"/>
                    </w:rPr>
                    <w:t>合同履行数/合同签订数×100%</w:t>
                  </w:r>
                </w:p>
              </w:tc>
              <w:tc>
                <w:tcPr>
                  <w:tcW w:w="2444" w:type="dxa"/>
                  <w:vAlign w:val="center"/>
                </w:tcPr>
                <w:p>
                  <w:pPr>
                    <w:rPr>
                      <w:rFonts w:hint="eastAsia" w:ascii="Times New Roman" w:hAnsi="Times New Roman" w:eastAsia="宋体" w:cs="Times New Roman"/>
                      <w:color w:val="000000"/>
                      <w:szCs w:val="18"/>
                      <w:lang w:val="en-US" w:eastAsia="zh-CN"/>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vAlign w:val="center"/>
                </w:tcPr>
                <w:p>
                  <w:pPr>
                    <w:widowControl/>
                    <w:jc w:val="left"/>
                    <w:rPr>
                      <w:rFonts w:hint="eastAsia" w:ascii="Times New Roman" w:hAnsi="Times New Roman" w:eastAsia="宋体" w:cs="Times New Roman"/>
                      <w:color w:val="000000"/>
                      <w:szCs w:val="18"/>
                    </w:rPr>
                  </w:pPr>
                  <w:r>
                    <w:rPr>
                      <w:rFonts w:hint="eastAsia" w:ascii="宋体" w:hAnsi="宋体"/>
                      <w:szCs w:val="21"/>
                    </w:rPr>
                    <w:t>对固体废弃物100%处理</w:t>
                  </w:r>
                </w:p>
              </w:tc>
              <w:tc>
                <w:tcPr>
                  <w:tcW w:w="1236" w:type="dxa"/>
                  <w:vAlign w:val="center"/>
                </w:tcPr>
                <w:p>
                  <w:pPr>
                    <w:widowControl/>
                    <w:spacing w:before="40"/>
                    <w:jc w:val="left"/>
                    <w:rPr>
                      <w:rFonts w:hint="eastAsia" w:ascii="Times New Roman" w:hAnsi="Times New Roman" w:eastAsia="宋体" w:cs="Times New Roman"/>
                      <w:color w:val="000000"/>
                      <w:szCs w:val="18"/>
                      <w:lang w:eastAsia="zh-CN"/>
                    </w:rPr>
                  </w:pPr>
                  <w:r>
                    <w:rPr>
                      <w:rFonts w:hint="eastAsia" w:ascii="Times New Roman" w:hAnsi="Times New Roman" w:eastAsia="宋体" w:cs="Times New Roman"/>
                      <w:color w:val="000000"/>
                      <w:szCs w:val="18"/>
                    </w:rPr>
                    <w:t>1次/月</w:t>
                  </w:r>
                </w:p>
              </w:tc>
              <w:tc>
                <w:tcPr>
                  <w:tcW w:w="3499" w:type="dxa"/>
                  <w:vAlign w:val="center"/>
                </w:tcPr>
                <w:p>
                  <w:pPr>
                    <w:widowControl/>
                    <w:jc w:val="left"/>
                    <w:rPr>
                      <w:rFonts w:hint="eastAsia" w:ascii="Times New Roman" w:hAnsi="Times New Roman" w:eastAsia="宋体" w:cs="Times New Roman"/>
                      <w:color w:val="000000"/>
                      <w:szCs w:val="18"/>
                      <w:lang w:val="en-US" w:eastAsia="zh-CN"/>
                    </w:rPr>
                  </w:pPr>
                  <w:r>
                    <w:rPr>
                      <w:rFonts w:hint="eastAsia" w:ascii="宋体" w:hAnsi="宋体"/>
                      <w:szCs w:val="21"/>
                    </w:rPr>
                    <w:t>固体废弃物处置数/总固体废弃物数*100%</w:t>
                  </w:r>
                </w:p>
              </w:tc>
              <w:tc>
                <w:tcPr>
                  <w:tcW w:w="2444" w:type="dxa"/>
                  <w:vAlign w:val="center"/>
                </w:tcPr>
                <w:p>
                  <w:pPr>
                    <w:rPr>
                      <w:rFonts w:hint="default" w:ascii="Times New Roman" w:hAnsi="Times New Roman" w:eastAsia="宋体" w:cs="Times New Roman"/>
                      <w:color w:val="000000"/>
                      <w:szCs w:val="18"/>
                      <w:lang w:val="en-US" w:eastAsia="zh-CN"/>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vAlign w:val="center"/>
                </w:tcPr>
                <w:p>
                  <w:pPr>
                    <w:widowControl/>
                    <w:jc w:val="left"/>
                    <w:rPr>
                      <w:rFonts w:hint="eastAsia" w:ascii="Times New Roman" w:hAnsi="Times New Roman" w:eastAsia="宋体" w:cs="Times New Roman"/>
                      <w:color w:val="000000"/>
                      <w:szCs w:val="18"/>
                    </w:rPr>
                  </w:pPr>
                  <w:r>
                    <w:rPr>
                      <w:rFonts w:hint="eastAsia" w:ascii="宋体" w:hAnsi="宋体"/>
                      <w:szCs w:val="21"/>
                    </w:rPr>
                    <w:t>火灾事故发生率为0</w:t>
                  </w:r>
                </w:p>
              </w:tc>
              <w:tc>
                <w:tcPr>
                  <w:tcW w:w="1236" w:type="dxa"/>
                  <w:vAlign w:val="center"/>
                </w:tcPr>
                <w:p>
                  <w:pPr>
                    <w:widowControl/>
                    <w:spacing w:before="40"/>
                    <w:jc w:val="left"/>
                    <w:rPr>
                      <w:rFonts w:hint="eastAsia" w:ascii="Times New Roman" w:hAnsi="Times New Roman" w:eastAsia="宋体" w:cs="Times New Roman"/>
                      <w:color w:val="000000"/>
                      <w:szCs w:val="18"/>
                      <w:lang w:eastAsia="zh-CN"/>
                    </w:rPr>
                  </w:pPr>
                  <w:r>
                    <w:rPr>
                      <w:rFonts w:hint="eastAsia" w:ascii="Times New Roman" w:hAnsi="Times New Roman" w:eastAsia="宋体" w:cs="Times New Roman"/>
                      <w:color w:val="000000"/>
                      <w:szCs w:val="18"/>
                    </w:rPr>
                    <w:t>1次/月</w:t>
                  </w:r>
                </w:p>
              </w:tc>
              <w:tc>
                <w:tcPr>
                  <w:tcW w:w="3499" w:type="dxa"/>
                  <w:vAlign w:val="center"/>
                </w:tcPr>
                <w:p>
                  <w:pPr>
                    <w:widowControl/>
                    <w:jc w:val="left"/>
                    <w:rPr>
                      <w:rFonts w:hint="eastAsia" w:ascii="Times New Roman" w:hAnsi="Times New Roman" w:eastAsia="宋体" w:cs="Times New Roman"/>
                      <w:color w:val="000000"/>
                      <w:szCs w:val="18"/>
                      <w:lang w:val="en-US" w:eastAsia="zh-CN"/>
                    </w:rPr>
                  </w:pPr>
                  <w:r>
                    <w:rPr>
                      <w:rFonts w:hint="eastAsia" w:ascii="宋体" w:hAnsi="宋体"/>
                      <w:szCs w:val="21"/>
                    </w:rPr>
                    <w:t>实际发生数</w:t>
                  </w:r>
                </w:p>
              </w:tc>
              <w:tc>
                <w:tcPr>
                  <w:tcW w:w="2444" w:type="dxa"/>
                  <w:vAlign w:val="center"/>
                </w:tcPr>
                <w:p>
                  <w:pPr>
                    <w:rPr>
                      <w:rFonts w:hint="eastAsia" w:ascii="Times New Roman" w:hAnsi="Times New Roman" w:eastAsia="宋体" w:cs="Times New Roman"/>
                      <w:color w:val="000000"/>
                      <w:szCs w:val="18"/>
                      <w:lang w:val="en-US" w:eastAsia="zh-CN"/>
                    </w:rPr>
                  </w:pPr>
                  <w:r>
                    <w:rPr>
                      <w:rFonts w:hint="eastAsia" w:ascii="宋体" w:hAnsi="宋体"/>
                      <w:bCs/>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vAlign w:val="center"/>
                </w:tcPr>
                <w:p>
                  <w:pPr>
                    <w:widowControl/>
                    <w:jc w:val="left"/>
                    <w:rPr>
                      <w:rFonts w:hint="eastAsia" w:ascii="Times New Roman" w:hAnsi="Times New Roman" w:eastAsia="宋体" w:cs="Times New Roman"/>
                      <w:color w:val="000000"/>
                      <w:szCs w:val="18"/>
                    </w:rPr>
                  </w:pPr>
                  <w:r>
                    <w:rPr>
                      <w:rFonts w:hint="eastAsia" w:ascii="宋体" w:hAnsi="宋体"/>
                      <w:szCs w:val="21"/>
                    </w:rPr>
                    <w:t>重大安全事故发生率为0</w:t>
                  </w:r>
                </w:p>
              </w:tc>
              <w:tc>
                <w:tcPr>
                  <w:tcW w:w="1236" w:type="dxa"/>
                  <w:vAlign w:val="center"/>
                </w:tcPr>
                <w:p>
                  <w:pPr>
                    <w:widowControl/>
                    <w:spacing w:before="40"/>
                    <w:jc w:val="left"/>
                    <w:rPr>
                      <w:rFonts w:hint="eastAsia" w:ascii="Times New Roman" w:hAnsi="Times New Roman" w:eastAsia="宋体" w:cs="Times New Roman"/>
                      <w:color w:val="000000"/>
                      <w:szCs w:val="18"/>
                      <w:lang w:eastAsia="zh-CN"/>
                    </w:rPr>
                  </w:pPr>
                  <w:r>
                    <w:rPr>
                      <w:rFonts w:hint="eastAsia" w:ascii="Times New Roman" w:hAnsi="Times New Roman" w:eastAsia="宋体" w:cs="Times New Roman"/>
                      <w:color w:val="000000"/>
                      <w:szCs w:val="18"/>
                    </w:rPr>
                    <w:t>1次/月</w:t>
                  </w:r>
                </w:p>
              </w:tc>
              <w:tc>
                <w:tcPr>
                  <w:tcW w:w="3499" w:type="dxa"/>
                  <w:vAlign w:val="center"/>
                </w:tcPr>
                <w:p>
                  <w:pPr>
                    <w:widowControl/>
                    <w:jc w:val="left"/>
                    <w:rPr>
                      <w:rFonts w:hint="eastAsia" w:ascii="Times New Roman" w:hAnsi="Times New Roman" w:eastAsia="宋体" w:cs="Times New Roman"/>
                      <w:color w:val="000000"/>
                      <w:szCs w:val="18"/>
                      <w:lang w:val="en-US" w:eastAsia="zh-CN"/>
                    </w:rPr>
                  </w:pPr>
                  <w:r>
                    <w:rPr>
                      <w:rFonts w:hint="eastAsia" w:ascii="宋体" w:hAnsi="宋体"/>
                      <w:szCs w:val="21"/>
                    </w:rPr>
                    <w:t>实际发生数</w:t>
                  </w:r>
                </w:p>
              </w:tc>
              <w:tc>
                <w:tcPr>
                  <w:tcW w:w="2444" w:type="dxa"/>
                  <w:vAlign w:val="center"/>
                </w:tcPr>
                <w:p>
                  <w:pPr>
                    <w:rPr>
                      <w:rFonts w:hint="eastAsia" w:ascii="Times New Roman" w:hAnsi="Times New Roman" w:eastAsia="宋体" w:cs="Times New Roman"/>
                      <w:color w:val="000000"/>
                      <w:szCs w:val="18"/>
                      <w:lang w:val="en-US" w:eastAsia="zh-CN"/>
                    </w:rPr>
                  </w:pPr>
                  <w:r>
                    <w:rPr>
                      <w:rFonts w:hint="eastAsia" w:ascii="宋体" w:hAnsi="宋体"/>
                      <w:sz w:val="24"/>
                    </w:rPr>
                    <w:t>0</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 xml:space="preserve">-《管理手册》份；覆盖了 </w:t>
            </w:r>
            <w:r>
              <w:rPr>
                <w:rFonts w:hint="eastAsia"/>
                <w:color w:val="000000"/>
                <w:szCs w:val="21"/>
                <w:lang w:eastAsia="zh-CN"/>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lang w:eastAsia="zh-CN"/>
              </w:rPr>
              <w:t>☑</w:t>
            </w:r>
            <w:r>
              <w:rPr>
                <w:color w:val="000000"/>
                <w:spacing w:val="-2"/>
                <w:szCs w:val="21"/>
              </w:rPr>
              <w:t xml:space="preserve">EMS </w:t>
            </w:r>
            <w:r>
              <w:rPr>
                <w:rFonts w:hint="eastAsia"/>
                <w:color w:val="000000"/>
                <w:szCs w:val="21"/>
                <w:lang w:eastAsia="zh-CN"/>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34</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5</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30</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2023</w:t>
            </w:r>
            <w:r>
              <w:rPr>
                <w:rFonts w:hint="eastAsia"/>
                <w:color w:val="000000"/>
                <w:szCs w:val="18"/>
              </w:rPr>
              <w:t>年</w:t>
            </w:r>
            <w:r>
              <w:rPr>
                <w:rFonts w:hint="eastAsia"/>
                <w:color w:val="000000"/>
                <w:szCs w:val="18"/>
                <w:lang w:val="en-US" w:eastAsia="zh-CN"/>
              </w:rPr>
              <w:t>2</w:t>
            </w:r>
            <w:r>
              <w:rPr>
                <w:rFonts w:hint="eastAsia"/>
                <w:color w:val="000000"/>
                <w:szCs w:val="18"/>
              </w:rPr>
              <w:t>月</w:t>
            </w:r>
            <w:r>
              <w:rPr>
                <w:rFonts w:hint="eastAsia"/>
                <w:color w:val="000000"/>
                <w:szCs w:val="18"/>
                <w:lang w:val="en-US" w:eastAsia="zh-CN"/>
              </w:rPr>
              <w:t>1</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lang w:eastAsia="zh-CN"/>
              </w:rPr>
              <w:t>☑</w:t>
            </w:r>
            <w:r>
              <w:rPr>
                <w:rFonts w:hint="eastAsia"/>
                <w:color w:val="000000"/>
                <w:szCs w:val="18"/>
              </w:rPr>
              <w:t>内审计划、</w:t>
            </w:r>
            <w:r>
              <w:rPr>
                <w:rFonts w:hint="eastAsia"/>
                <w:color w:val="000000"/>
                <w:szCs w:val="21"/>
                <w:lang w:eastAsia="zh-CN"/>
              </w:rPr>
              <w:t>☑</w:t>
            </w:r>
            <w:r>
              <w:rPr>
                <w:rFonts w:hint="eastAsia"/>
                <w:color w:val="000000"/>
                <w:szCs w:val="18"/>
              </w:rPr>
              <w:t>内审检查表、</w:t>
            </w:r>
            <w:r>
              <w:rPr>
                <w:rFonts w:hint="eastAsia"/>
                <w:color w:val="000000"/>
                <w:szCs w:val="21"/>
                <w:lang w:eastAsia="zh-CN"/>
              </w:rPr>
              <w:t>☑</w:t>
            </w:r>
            <w:r>
              <w:rPr>
                <w:rFonts w:hint="eastAsia"/>
                <w:color w:val="000000"/>
                <w:szCs w:val="18"/>
              </w:rPr>
              <w:t>不符合项报告份、</w:t>
            </w:r>
            <w:r>
              <w:rPr>
                <w:rFonts w:hint="eastAsia"/>
                <w:color w:val="000000"/>
                <w:szCs w:val="21"/>
                <w:lang w:eastAsia="zh-CN"/>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2023</w:t>
            </w:r>
            <w:r>
              <w:rPr>
                <w:rFonts w:hint="eastAsia"/>
                <w:color w:val="000000"/>
                <w:szCs w:val="18"/>
              </w:rPr>
              <w:t>年</w:t>
            </w:r>
            <w:r>
              <w:rPr>
                <w:rFonts w:hint="eastAsia"/>
                <w:color w:val="000000"/>
                <w:szCs w:val="18"/>
                <w:lang w:val="en-US" w:eastAsia="zh-CN"/>
              </w:rPr>
              <w:t>2</w:t>
            </w:r>
            <w:r>
              <w:rPr>
                <w:rFonts w:hint="eastAsia"/>
                <w:color w:val="000000"/>
                <w:szCs w:val="18"/>
              </w:rPr>
              <w:t>月</w:t>
            </w:r>
            <w:r>
              <w:rPr>
                <w:rFonts w:hint="eastAsia"/>
                <w:color w:val="000000"/>
                <w:szCs w:val="18"/>
                <w:lang w:val="en-US" w:eastAsia="zh-CN"/>
              </w:rPr>
              <w:t>20</w:t>
            </w:r>
            <w:r>
              <w:rPr>
                <w:rFonts w:hint="eastAsia"/>
                <w:color w:val="000000"/>
                <w:szCs w:val="18"/>
              </w:rPr>
              <w:t>日实施了管理评审；</w:t>
            </w:r>
          </w:p>
          <w:p>
            <w:pPr>
              <w:widowControl/>
              <w:spacing w:before="40"/>
              <w:jc w:val="left"/>
              <w:rPr>
                <w:color w:val="000000"/>
                <w:szCs w:val="18"/>
              </w:rPr>
            </w:pPr>
            <w:r>
              <w:rPr>
                <w:rFonts w:hint="eastAsia"/>
                <w:color w:val="000000"/>
                <w:szCs w:val="21"/>
                <w:lang w:eastAsia="zh-CN"/>
              </w:rPr>
              <w:t>☑</w:t>
            </w:r>
            <w:r>
              <w:rPr>
                <w:rFonts w:hint="eastAsia"/>
                <w:color w:val="000000"/>
                <w:szCs w:val="21"/>
              </w:rPr>
              <w:t>管理评审输入</w:t>
            </w:r>
            <w:r>
              <w:rPr>
                <w:rFonts w:hint="eastAsia"/>
                <w:color w:val="000000"/>
                <w:szCs w:val="18"/>
              </w:rPr>
              <w:t>、</w:t>
            </w:r>
            <w:r>
              <w:rPr>
                <w:rFonts w:hint="eastAsia"/>
                <w:color w:val="000000"/>
                <w:szCs w:val="21"/>
                <w:lang w:eastAsia="zh-CN"/>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eastAsia" w:eastAsia="宋体"/>
                <w:color w:val="auto"/>
                <w:szCs w:val="18"/>
                <w:highlight w:val="none"/>
                <w:u w:val="single"/>
                <w:lang w:eastAsia="zh-CN"/>
              </w:rPr>
            </w:pPr>
            <w:r>
              <w:rPr>
                <w:rFonts w:hint="eastAsia"/>
                <w:color w:val="auto"/>
                <w:szCs w:val="18"/>
              </w:rPr>
              <w:t>QMS不适用条款</w:t>
            </w:r>
            <w:r>
              <w:rPr>
                <w:rFonts w:hint="eastAsia"/>
                <w:color w:val="auto"/>
                <w:szCs w:val="18"/>
                <w:highlight w:val="none"/>
              </w:rPr>
              <w:t>1</w:t>
            </w:r>
            <w:r>
              <w:rPr>
                <w:rFonts w:hint="eastAsia"/>
                <w:color w:val="auto"/>
                <w:szCs w:val="18"/>
                <w:highlight w:val="none"/>
                <w:lang w:eastAsia="zh-CN"/>
              </w:rPr>
              <w:t>：</w:t>
            </w:r>
            <w:r>
              <w:rPr>
                <w:rFonts w:hint="eastAsia"/>
                <w:color w:val="auto"/>
                <w:szCs w:val="18"/>
                <w:highlight w:val="none"/>
                <w:lang w:val="en-US" w:eastAsia="zh-CN"/>
              </w:rPr>
              <w:t>8.3</w:t>
            </w:r>
          </w:p>
          <w:p>
            <w:pPr>
              <w:rPr>
                <w:rFonts w:hint="default" w:eastAsia="宋体"/>
                <w:color w:val="auto"/>
                <w:szCs w:val="18"/>
                <w:highlight w:val="none"/>
                <w:lang w:val="en-US" w:eastAsia="zh-CN"/>
              </w:rPr>
            </w:pPr>
            <w:r>
              <w:rPr>
                <w:rFonts w:hint="eastAsia"/>
                <w:color w:val="auto"/>
                <w:szCs w:val="18"/>
                <w:highlight w:val="none"/>
              </w:rPr>
              <w:t>合理理由的详细说明：</w:t>
            </w:r>
            <w:r>
              <w:rPr>
                <w:rFonts w:hint="eastAsia"/>
                <w:szCs w:val="21"/>
              </w:rPr>
              <w:t>公司依据行业标准和顾客要求进行活动和服务，服务模式固定，不涉及新产品设计和开发服务，GB/T19001-2016标准第8.3条款，产品和服务的设计和开发不适用，但这并不影响本公司提供满足顾客和适用法律法规要求的服务能力与责任，也不影响提高顾客满意度</w:t>
            </w:r>
            <w:r>
              <w:rPr>
                <w:rFonts w:hint="eastAsia" w:ascii="宋体" w:hAnsi="宋体" w:eastAsia="宋体" w:cs="Lucida Sans"/>
                <w:color w:val="auto"/>
                <w:sz w:val="21"/>
                <w:szCs w:val="21"/>
                <w:highlight w:val="none"/>
              </w:rPr>
              <w:t>。</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lang w:val="en-US" w:eastAsia="zh-CN"/>
              </w:rPr>
              <w:t>服务过程</w:t>
            </w:r>
            <w:r>
              <w:rPr>
                <w:rFonts w:hint="eastAsia"/>
                <w:color w:val="000000"/>
                <w:u w:val="single"/>
              </w:rPr>
              <w:t>；</w:t>
            </w:r>
            <w:r>
              <w:rPr>
                <w:rFonts w:hint="eastAsia"/>
                <w:color w:val="000000"/>
              </w:rPr>
              <w:t>相关控制参数名称：</w:t>
            </w:r>
            <w:r>
              <w:rPr>
                <w:rFonts w:hint="eastAsia"/>
                <w:color w:val="000000"/>
                <w:lang w:eastAsia="zh-CN"/>
              </w:rPr>
              <w:t>及时性和满意度调查</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ascii="宋体" w:hAnsi="宋体" w:cs="宋体"/>
                <w:b/>
                <w:color w:val="000000"/>
                <w:sz w:val="24"/>
                <w:szCs w:val="24"/>
                <w:lang w:val="en-US" w:eastAsia="zh-CN"/>
              </w:rPr>
              <w:t>服务过程</w:t>
            </w:r>
            <w:r>
              <w:rPr>
                <w:rFonts w:hint="eastAsia"/>
                <w:color w:val="000000"/>
                <w:u w:val="single"/>
              </w:rPr>
              <w:t>；</w:t>
            </w:r>
          </w:p>
          <w:p>
            <w:pPr>
              <w:rPr>
                <w:color w:val="000000"/>
                <w:szCs w:val="18"/>
              </w:rPr>
            </w:pPr>
            <w:r>
              <w:rPr>
                <w:rFonts w:hint="eastAsia"/>
                <w:color w:val="000000"/>
              </w:rPr>
              <w:t>确认的内容：</w:t>
            </w:r>
            <w:r>
              <w:rPr>
                <w:rFonts w:hint="eastAsia"/>
                <w:color w:val="000000"/>
                <w:szCs w:val="21"/>
                <w:lang w:eastAsia="zh-CN"/>
              </w:rPr>
              <w:t>☑</w:t>
            </w:r>
            <w:r>
              <w:rPr>
                <w:rFonts w:hint="eastAsia"/>
                <w:color w:val="000000"/>
                <w:szCs w:val="21"/>
              </w:rPr>
              <w:t>人员技能、</w:t>
            </w:r>
            <w:r>
              <w:rPr>
                <w:rFonts w:hint="eastAsia"/>
                <w:color w:val="000000"/>
                <w:szCs w:val="21"/>
                <w:lang w:eastAsia="zh-CN"/>
              </w:rPr>
              <w:t>☑</w:t>
            </w:r>
            <w:r>
              <w:rPr>
                <w:rFonts w:hint="eastAsia"/>
                <w:color w:val="000000"/>
                <w:szCs w:val="21"/>
              </w:rPr>
              <w:t>设备能力、□原料控制、□工艺方法、□工作环境、□破坏性试验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lang w:eastAsia="zh-CN"/>
              </w:rPr>
              <w:t>☑</w:t>
            </w:r>
            <w:r>
              <w:rPr>
                <w:rFonts w:hint="eastAsia"/>
                <w:color w:val="000000"/>
                <w:szCs w:val="21"/>
              </w:rPr>
              <w:t>客户要求、□国际标准、</w:t>
            </w:r>
            <w:r>
              <w:rPr>
                <w:rFonts w:hint="eastAsia"/>
                <w:color w:val="000000"/>
                <w:szCs w:val="21"/>
                <w:lang w:eastAsia="zh-CN"/>
              </w:rPr>
              <w:t>☑</w:t>
            </w:r>
            <w:r>
              <w:rPr>
                <w:rFonts w:hint="eastAsia"/>
                <w:color w:val="000000"/>
                <w:szCs w:val="21"/>
              </w:rPr>
              <w:t xml:space="preserve">国家标准、□行业标准、□地方标准、□企业标准、□企业技术规范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lang w:eastAsia="zh-CN"/>
              </w:rPr>
              <w:t>☑</w:t>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lang w:eastAsia="zh-CN"/>
              </w:rPr>
              <w:t>☑</w:t>
            </w:r>
            <w:r>
              <w:rPr>
                <w:rFonts w:hint="eastAsia"/>
                <w:color w:val="000000"/>
              </w:rPr>
              <w:t>发生过，说明</w:t>
            </w:r>
            <w:r>
              <w:rPr>
                <w:rFonts w:hint="eastAsia"/>
                <w:color w:val="000000"/>
                <w:u w:val="single"/>
              </w:rPr>
              <w:t>；</w:t>
            </w:r>
            <w:r>
              <w:rPr>
                <w:rFonts w:hint="eastAsia"/>
                <w:color w:val="000000"/>
                <w:u w:val="single"/>
                <w:lang w:val="en-US" w:eastAsia="zh-CN"/>
              </w:rPr>
              <w:t>2023年1月30日进行了满意度调查，为98分</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lang w:eastAsia="zh-CN"/>
              </w:rPr>
              <w:t>☑</w:t>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lang w:eastAsia="zh-CN"/>
              </w:rPr>
              <w:t>☑</w:t>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w:t>
            </w:r>
            <w:r>
              <w:rPr>
                <w:rFonts w:hint="eastAsia"/>
                <w:color w:val="000000"/>
                <w:lang w:val="en-US" w:eastAsia="zh-CN"/>
              </w:rPr>
              <w:t>运行</w:t>
            </w:r>
            <w:r>
              <w:rPr>
                <w:rFonts w:hint="eastAsia"/>
                <w:color w:val="000000"/>
              </w:rPr>
              <w:t>设备）</w:t>
            </w:r>
            <w:r>
              <w:rPr>
                <w:rFonts w:hint="eastAsia"/>
                <w:color w:val="000000"/>
                <w:szCs w:val="21"/>
              </w:rPr>
              <w:t>，主要有</w:t>
            </w:r>
            <w:r>
              <w:rPr>
                <w:rFonts w:hint="eastAsia" w:ascii="宋体" w:hAnsi="宋体" w:cs="宋体"/>
                <w:szCs w:val="21"/>
              </w:rPr>
              <w:t>办公设备、电脑、</w:t>
            </w:r>
            <w:r>
              <w:rPr>
                <w:rFonts w:hint="eastAsia"/>
                <w:szCs w:val="21"/>
              </w:rPr>
              <w:t>GNSS接收机、全站仪</w:t>
            </w:r>
            <w:r>
              <w:rPr>
                <w:rFonts w:hint="eastAsia"/>
                <w:color w:val="000000"/>
                <w:szCs w:val="21"/>
                <w:lang w:val="en-US" w:eastAsia="zh-CN"/>
              </w:rPr>
              <w:t>等</w:t>
            </w:r>
            <w:r>
              <w:rPr>
                <w:rFonts w:hint="eastAsia"/>
                <w:color w:val="000000"/>
                <w:u w:val="single"/>
              </w:rPr>
              <w:t>；</w:t>
            </w:r>
          </w:p>
          <w:p>
            <w:pPr>
              <w:widowControl/>
              <w:spacing w:before="40"/>
              <w:jc w:val="left"/>
              <w:rPr>
                <w:color w:val="000000"/>
              </w:rPr>
            </w:pPr>
            <w:r>
              <w:rPr>
                <w:rFonts w:hint="eastAsia"/>
                <w:color w:val="000000"/>
                <w:szCs w:val="21"/>
                <w:lang w:eastAsia="zh-CN"/>
              </w:rPr>
              <w:t>☑</w:t>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rFonts w:hint="eastAsia" w:eastAsia="宋体"/>
                <w:color w:val="000000"/>
                <w:lang w:val="en-US" w:eastAsia="zh-CN"/>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r>
              <w:rPr>
                <w:rFonts w:hint="eastAsia"/>
                <w:color w:val="000000"/>
                <w:u w:val="single"/>
                <w:lang w:val="en-US" w:eastAsia="zh-CN"/>
              </w:rPr>
              <w:t>万用表</w:t>
            </w:r>
          </w:p>
          <w:p>
            <w:pPr>
              <w:widowControl/>
              <w:spacing w:before="40"/>
              <w:jc w:val="left"/>
              <w:rPr>
                <w:color w:val="000000"/>
              </w:rPr>
            </w:pPr>
            <w:r>
              <w:rPr>
                <w:rFonts w:hint="eastAsia"/>
                <w:color w:val="000000"/>
              </w:rPr>
              <w:t>了解检定/校准情况（合格证标识）</w:t>
            </w:r>
          </w:p>
          <w:p>
            <w:pPr>
              <w:widowControl/>
              <w:spacing w:before="40"/>
              <w:jc w:val="left"/>
              <w:rPr>
                <w:rFonts w:hint="eastAsia" w:eastAsia="方正仿宋简体"/>
                <w:color w:val="000000"/>
                <w:lang w:eastAsia="zh-CN"/>
              </w:rPr>
            </w:pPr>
            <w:r>
              <w:rPr>
                <w:rFonts w:hint="eastAsia"/>
                <w:color w:val="000000"/>
                <w:szCs w:val="21"/>
                <w:lang w:eastAsia="zh-CN"/>
              </w:rPr>
              <w:t>☑</w:t>
            </w: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lang w:eastAsia="zh-CN"/>
              </w:rPr>
              <w:t>□</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A8"/>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A8"/>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A8"/>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p>
          <w:p>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u w:val="single"/>
              </w:rPr>
            </w:pPr>
            <w:r>
              <w:rPr>
                <w:color w:val="000000"/>
                <w:szCs w:val="18"/>
              </w:rPr>
              <w:t>查看《排污许可证》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eastAsia" w:eastAsia="宋体"/>
                <w:color w:val="000000"/>
                <w:shd w:val="pct10" w:color="auto" w:fill="FFFFFF"/>
                <w:lang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进行应急演练，说明：202</w:t>
            </w:r>
            <w:r>
              <w:rPr>
                <w:rFonts w:hint="eastAsia"/>
                <w:color w:val="000000"/>
                <w:lang w:val="en-US" w:eastAsia="zh-CN"/>
              </w:rPr>
              <w:t>3</w:t>
            </w:r>
            <w:r>
              <w:rPr>
                <w:rFonts w:hint="eastAsia"/>
                <w:color w:val="000000"/>
              </w:rPr>
              <w:t>年</w:t>
            </w:r>
            <w:r>
              <w:rPr>
                <w:rFonts w:hint="eastAsia"/>
                <w:color w:val="000000"/>
                <w:lang w:val="en-US" w:eastAsia="zh-CN"/>
              </w:rPr>
              <w:t>2</w:t>
            </w:r>
            <w:r>
              <w:rPr>
                <w:rFonts w:hint="eastAsia"/>
                <w:color w:val="000000"/>
              </w:rPr>
              <w:t>月</w:t>
            </w:r>
            <w:r>
              <w:rPr>
                <w:rFonts w:hint="eastAsia"/>
                <w:color w:val="000000"/>
                <w:lang w:val="en-US" w:eastAsia="zh-CN"/>
              </w:rPr>
              <w:t>20</w:t>
            </w:r>
            <w:r>
              <w:rPr>
                <w:rFonts w:hint="eastAsia"/>
                <w:color w:val="000000"/>
              </w:rPr>
              <w:t>日</w:t>
            </w:r>
            <w:r>
              <w:rPr>
                <w:rFonts w:hint="eastAsia"/>
                <w:color w:val="000000"/>
                <w:lang w:eastAsia="zh-CN"/>
              </w:rPr>
              <w:t>进行了火灾应急演练</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sym w:font="Wingdings" w:char="00A8"/>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进行应急演练，说明：2022年</w:t>
            </w:r>
            <w:r>
              <w:rPr>
                <w:rFonts w:hint="eastAsia"/>
                <w:color w:val="000000"/>
                <w:lang w:val="en-US" w:eastAsia="zh-CN"/>
              </w:rPr>
              <w:t>10</w:t>
            </w:r>
            <w:r>
              <w:rPr>
                <w:rFonts w:hint="eastAsia"/>
                <w:color w:val="000000"/>
              </w:rPr>
              <w:t>月</w:t>
            </w:r>
            <w:r>
              <w:rPr>
                <w:rFonts w:hint="eastAsia"/>
                <w:color w:val="000000"/>
                <w:lang w:val="en-US" w:eastAsia="zh-CN"/>
              </w:rPr>
              <w:t>9</w:t>
            </w:r>
            <w:r>
              <w:rPr>
                <w:rFonts w:hint="eastAsia"/>
                <w:color w:val="000000"/>
              </w:rPr>
              <w:t>日</w:t>
            </w:r>
            <w:r>
              <w:rPr>
                <w:rFonts w:hint="eastAsia"/>
                <w:color w:val="000000"/>
                <w:lang w:eastAsia="zh-CN"/>
              </w:rPr>
              <w:t>进行了火灾应急演练</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sym w:font="Wingdings" w:char="00FE"/>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w:t>
            </w:r>
            <w:r>
              <w:rPr>
                <w:rFonts w:hint="eastAsia"/>
                <w:lang w:eastAsia="zh-CN"/>
              </w:rPr>
              <w:t>☑</w:t>
            </w:r>
            <w:r>
              <w:rPr>
                <w:rFonts w:hint="eastAsia"/>
              </w:rPr>
              <w:t xml:space="preserve">触电  □化学伤害  □噪声 □粉尘  □危险作业 □高低温  □危化品泄露 </w:t>
            </w:r>
          </w:p>
          <w:p>
            <w:pPr>
              <w:widowControl/>
              <w:spacing w:before="40"/>
              <w:ind w:firstLine="210" w:firstLineChars="100"/>
              <w:jc w:val="left"/>
            </w:pPr>
            <w:r>
              <w:rPr>
                <w:rFonts w:hint="eastAsia"/>
              </w:rPr>
              <w:t xml:space="preserve">□压力容器爆炸  </w:t>
            </w:r>
            <w:r>
              <w:rPr>
                <w:rFonts w:hint="eastAsia"/>
                <w:lang w:eastAsia="zh-CN"/>
              </w:rPr>
              <w:t>☑</w:t>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sym w:font="Wingdings" w:char="00FE"/>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sym w:font="Wingdings" w:char="00A8"/>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sym w:font="Wingdings" w:char="00A8"/>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sym w:font="Wingdings" w:char="00A8"/>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sym w:font="Wingdings" w:char="00FE"/>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lang w:eastAsia="zh-CN"/>
              </w:rPr>
              <w:t>☑</w:t>
            </w:r>
            <w:r>
              <w:rPr>
                <w:rFonts w:hint="eastAsia"/>
                <w:color w:val="000000"/>
                <w:szCs w:val="21"/>
              </w:rPr>
              <w:t xml:space="preserve"> 经营地址变更</w:t>
            </w:r>
            <w:bookmarkStart w:id="4" w:name="_GoBack"/>
            <w:bookmarkEnd w:id="4"/>
            <w:r>
              <w:rPr>
                <w:rFonts w:hint="eastAsia"/>
                <w:color w:val="000000"/>
                <w:szCs w:val="21"/>
              </w:rPr>
              <w:t xml:space="preserve">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有生产/服务现场   </w:t>
            </w:r>
            <w:r>
              <w:rPr>
                <w:rFonts w:hint="eastAsia"/>
                <w:color w:val="000000"/>
                <w:sz w:val="21"/>
                <w:szCs w:val="21"/>
                <w:lang w:eastAsia="zh-CN"/>
              </w:rPr>
              <w:t>☑</w:t>
            </w:r>
            <w:r>
              <w:rPr>
                <w:rFonts w:hint="eastAsia"/>
                <w:color w:val="000000"/>
                <w:sz w:val="21"/>
                <w:szCs w:val="21"/>
              </w:rPr>
              <w:t xml:space="preserve">领导层可以迎审  □交通食宿  □劳保用品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识别二阶段审核的可行性</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二阶段日期的可接受性  </w:t>
            </w:r>
            <w:r>
              <w:rPr>
                <w:rFonts w:hint="eastAsia"/>
                <w:color w:val="000000"/>
                <w:sz w:val="21"/>
                <w:szCs w:val="21"/>
                <w:lang w:eastAsia="zh-CN"/>
              </w:rPr>
              <w:t>☑</w:t>
            </w:r>
            <w:r>
              <w:rPr>
                <w:rFonts w:hint="eastAsia"/>
                <w:color w:val="000000"/>
                <w:sz w:val="21"/>
                <w:szCs w:val="21"/>
              </w:rPr>
              <w:t>审核组成员的可接受性  □一阶段的问题已整改</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华文宋体">
    <w:altName w:val="宋体"/>
    <w:panose1 w:val="02010600040101010101"/>
    <w:charset w:val="86"/>
    <w:family w:val="auto"/>
    <w:pitch w:val="default"/>
    <w:sig w:usb0="00000000" w:usb1="00000000" w:usb2="00000010" w:usb3="00000000" w:csb0="0004009F" w:csb1="00000000"/>
  </w:font>
  <w:font w:name="Lucida Sans">
    <w:altName w:val="Lucida Sans Unicode"/>
    <w:panose1 w:val="020B0602030504020204"/>
    <w:charset w:val="00"/>
    <w:family w:val="swiss"/>
    <w:pitch w:val="default"/>
    <w:sig w:usb0="00000000" w:usb1="00000000" w:usb2="00000008" w:usb3="00000000" w:csb0="0000009F" w:csb1="00000000"/>
  </w:font>
  <w:font w:name="方正仿宋简体">
    <w:altName w:val="宋体"/>
    <w:panose1 w:val="00000000000000000000"/>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4MWU3MDczOTkxMDk2MzJiODM1NDdkNjA1ZDJkNjkifQ=="/>
  </w:docVars>
  <w:rsids>
    <w:rsidRoot w:val="00000000"/>
    <w:rsid w:val="168E6A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9785</Words>
  <Characters>9990</Characters>
  <Lines>92</Lines>
  <Paragraphs>26</Paragraphs>
  <TotalTime>4</TotalTime>
  <ScaleCrop>false</ScaleCrop>
  <LinksUpToDate>false</LinksUpToDate>
  <CharactersWithSpaces>12179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2023-03-06T05:05:06Z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2052-11.1.0.13703</vt:lpwstr>
  </property>
</Properties>
</file>