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佛山市英辉铝型材有限公司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0146-2018-2023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0146-2018-2023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佛山市英辉铝型材有限公司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范洁珍</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ISC-2019-0371</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2024-01-13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四</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2023年03月09日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