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0178-2023-Q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河北聘上信息科技有限公司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河北聘上信息科技有限公司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石家庄市鹿泉经济开发区石柏南大街187号214室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石家庄市鹿泉区振岗路河北省公安厅警官培训中心对面</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牛会锋</w:t>
            </w:r>
            <w:bookmarkEnd w:id="10"/>
          </w:p>
        </w:tc>
        <w:tc>
          <w:tcPr>
            <w:tcW w:w="1313" w:type="dxa"/>
            <w:vAlign w:val="center"/>
          </w:tcPr>
          <w:p>
            <w:r>
              <w:rPr>
                <w:rFonts w:hint="eastAsia"/>
              </w:rPr>
              <w:t>电话.</w:t>
            </w:r>
          </w:p>
        </w:tc>
        <w:tc>
          <w:tcPr>
            <w:tcW w:w="2180" w:type="dxa"/>
            <w:vAlign w:val="center"/>
          </w:tcPr>
          <w:p>
            <w:bookmarkStart w:id="11" w:name="联系人电话"/>
            <w:r>
              <w:t>19931146913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齐子耘</w:t>
            </w:r>
            <w:bookmarkEnd w:id="13"/>
          </w:p>
        </w:tc>
        <w:tc>
          <w:tcPr>
            <w:tcW w:w="1313" w:type="dxa"/>
            <w:vAlign w:val="center"/>
          </w:tcPr>
          <w:p>
            <w:r>
              <w:rPr>
                <w:rFonts w:hint="eastAsia"/>
              </w:rPr>
              <w:t>管理者代表</w:t>
            </w:r>
          </w:p>
        </w:tc>
        <w:tc>
          <w:tcPr>
            <w:tcW w:w="2180" w:type="dxa"/>
          </w:tcPr>
          <w:p>
            <w:bookmarkStart w:id="14" w:name="管理者代表"/>
            <w:r>
              <w:t>牛会锋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none"/>
                <w:shd w:val="clear"/>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b/>
                <w:bCs/>
                <w:color w:val="000000"/>
                <w:szCs w:val="21"/>
                <w:lang w:val="en-US" w:eastAsia="zh-CN"/>
              </w:rPr>
              <w:t>原材料到货---用铜丝手工绑紧---装盒---点数---标识---出票---打包----送货----客户签收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2023年03月10日 上午至2023年03月10日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石家庄市鹿泉区振岗路河北省公安厅警官培训中心对面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电子元器件</w:t>
            </w:r>
            <w:r>
              <w:rPr>
                <w:rFonts w:hint="eastAsia"/>
                <w:lang w:val="en-US" w:eastAsia="zh-CN"/>
              </w:rPr>
              <w:t>手工</w:t>
            </w:r>
            <w:r>
              <w:t>加工与组装</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86"/>
        <w:gridCol w:w="1720"/>
        <w:gridCol w:w="1370"/>
        <w:gridCol w:w="1530"/>
        <w:gridCol w:w="17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186" w:type="dxa"/>
            <w:shd w:val="clear" w:color="auto" w:fill="F3F3F3"/>
            <w:tcMar>
              <w:left w:w="57" w:type="dxa"/>
              <w:right w:w="57" w:type="dxa"/>
            </w:tcMar>
          </w:tcPr>
          <w:p>
            <w:r>
              <w:rPr>
                <w:rFonts w:hint="eastAsia"/>
              </w:rPr>
              <w:t>组织名称及注册场所地址</w:t>
            </w:r>
          </w:p>
        </w:tc>
        <w:tc>
          <w:tcPr>
            <w:tcW w:w="1720" w:type="dxa"/>
            <w:shd w:val="clear" w:color="auto" w:fill="F3F3F3"/>
            <w:tcMar>
              <w:left w:w="57" w:type="dxa"/>
              <w:right w:w="57" w:type="dxa"/>
            </w:tcMar>
          </w:tcPr>
          <w:p>
            <w:r>
              <w:rPr>
                <w:rFonts w:hint="eastAsia"/>
              </w:rPr>
              <w:t>经营场所的地址</w:t>
            </w:r>
          </w:p>
          <w:p>
            <w:r>
              <w:rPr>
                <w:rFonts w:hint="eastAsia"/>
              </w:rPr>
              <w:t>（多现场和临时现场）</w:t>
            </w:r>
          </w:p>
        </w:tc>
        <w:tc>
          <w:tcPr>
            <w:tcW w:w="1370" w:type="dxa"/>
            <w:shd w:val="clear" w:color="auto" w:fill="F3F3F3"/>
            <w:tcMar>
              <w:left w:w="57" w:type="dxa"/>
              <w:right w:w="57" w:type="dxa"/>
            </w:tcMar>
          </w:tcPr>
          <w:p>
            <w:r>
              <w:rPr>
                <w:rFonts w:hint="eastAsia"/>
              </w:rPr>
              <w:t>员工人数</w:t>
            </w:r>
          </w:p>
        </w:tc>
        <w:tc>
          <w:tcPr>
            <w:tcW w:w="1530" w:type="dxa"/>
            <w:shd w:val="clear" w:color="auto" w:fill="F3F3F3"/>
            <w:tcMar>
              <w:left w:w="57" w:type="dxa"/>
              <w:right w:w="57" w:type="dxa"/>
            </w:tcMar>
          </w:tcPr>
          <w:p>
            <w:r>
              <w:rPr>
                <w:rFonts w:hint="eastAsia"/>
              </w:rPr>
              <w:t>审核范围（产品和过程）</w:t>
            </w:r>
          </w:p>
          <w:p/>
          <w:p/>
        </w:tc>
        <w:tc>
          <w:tcPr>
            <w:tcW w:w="17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18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河北聘上信息科技有限公司</w:t>
            </w:r>
            <w:r>
              <w:rPr>
                <w:rFonts w:hint="eastAsia"/>
                <w:sz w:val="21"/>
                <w:szCs w:val="21"/>
                <w:lang w:val="en-US" w:eastAsia="zh-CN"/>
              </w:rPr>
              <w:t>/</w:t>
            </w:r>
            <w:r>
              <w:rPr>
                <w:rFonts w:asciiTheme="minorEastAsia" w:hAnsiTheme="minorEastAsia" w:eastAsiaTheme="minorEastAsia"/>
                <w:sz w:val="20"/>
              </w:rPr>
              <w:t>石家庄市鹿泉经济开发区石柏南大街187号214室</w:t>
            </w:r>
          </w:p>
        </w:tc>
        <w:tc>
          <w:tcPr>
            <w:tcW w:w="1720"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石家庄市鹿泉区振岗路河北省公安厅警官培训中心对面</w:t>
            </w:r>
          </w:p>
        </w:tc>
        <w:tc>
          <w:tcPr>
            <w:tcW w:w="137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cs="Times New Roman" w:asciiTheme="minorEastAsia" w:hAnsiTheme="minorEastAsia" w:eastAsiaTheme="minorEastAsia"/>
                <w:sz w:val="20"/>
                <w:lang w:val="en-US" w:eastAsia="zh-CN"/>
              </w:rPr>
              <w:t>总人数35人质量体系覆盖人数35人</w:t>
            </w:r>
          </w:p>
        </w:tc>
        <w:tc>
          <w:tcPr>
            <w:tcW w:w="1530" w:type="dxa"/>
            <w:vAlign w:val="center"/>
          </w:tcPr>
          <w:p>
            <w:pPr>
              <w:pStyle w:val="21"/>
              <w:rPr>
                <w:rFonts w:ascii="Times New Roman" w:hAnsi="Times New Roman" w:eastAsia="黑体" w:cs="Arial"/>
                <w:kern w:val="2"/>
                <w:sz w:val="21"/>
                <w:szCs w:val="21"/>
                <w:lang w:val="en-US" w:eastAsia="ja-JP" w:bidi="ar-SA"/>
              </w:rPr>
            </w:pPr>
            <w:r>
              <w:t>电子元器件加工与组装</w:t>
            </w:r>
            <w:r>
              <w:rPr>
                <w:rFonts w:hint="eastAsia"/>
                <w:lang w:val="en-US" w:eastAsia="zh-CN"/>
              </w:rPr>
              <w:t xml:space="preserve">  </w:t>
            </w:r>
          </w:p>
        </w:tc>
        <w:tc>
          <w:tcPr>
            <w:tcW w:w="17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GB/T19001-2016</w:t>
            </w:r>
          </w:p>
        </w:tc>
        <w:tc>
          <w:tcPr>
            <w:tcW w:w="668" w:type="dxa"/>
            <w:shd w:val="clear" w:color="auto" w:fill="FFFFFF"/>
            <w:vAlign w:val="top"/>
          </w:tcPr>
          <w:sdt>
            <w:sdtPr>
              <w:rPr>
                <w:rFonts w:eastAsia="黑体"/>
                <w:szCs w:val="21"/>
              </w:rPr>
              <w:id w:val="271604670"/>
            </w:sdtPr>
            <w:sdtEndPr>
              <w:rPr>
                <w:rFonts w:hint="default" w:eastAsia="黑体"/>
                <w:szCs w:val="21"/>
                <w:lang w:val="en-US"/>
              </w:rPr>
            </w:sdtEndPr>
            <w:sdtContent>
              <w:p>
                <w:pPr>
                  <w:rPr>
                    <w:rFonts w:hint="default" w:eastAsia="黑体"/>
                    <w:szCs w:val="21"/>
                    <w:lang w:val="en-US"/>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186" w:type="dxa"/>
            <w:vAlign w:val="center"/>
          </w:tcPr>
          <w:p>
            <w:pPr>
              <w:rPr>
                <w:lang w:eastAsia="ja-JP"/>
              </w:rPr>
            </w:pPr>
          </w:p>
        </w:tc>
        <w:tc>
          <w:tcPr>
            <w:tcW w:w="1720" w:type="dxa"/>
            <w:vAlign w:val="center"/>
          </w:tcPr>
          <w:p>
            <w:pPr>
              <w:rPr>
                <w:lang w:eastAsia="ja-JP"/>
              </w:rPr>
            </w:pPr>
          </w:p>
        </w:tc>
        <w:tc>
          <w:tcPr>
            <w:tcW w:w="1370" w:type="dxa"/>
            <w:vAlign w:val="center"/>
          </w:tcPr>
          <w:p>
            <w:pPr>
              <w:rPr>
                <w:lang w:eastAsia="ja-JP"/>
              </w:rPr>
            </w:pPr>
          </w:p>
        </w:tc>
        <w:tc>
          <w:tcPr>
            <w:tcW w:w="153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186" w:type="dxa"/>
            <w:vAlign w:val="center"/>
          </w:tcPr>
          <w:p>
            <w:pPr>
              <w:rPr>
                <w:lang w:eastAsia="ja-JP"/>
              </w:rPr>
            </w:pPr>
          </w:p>
        </w:tc>
        <w:tc>
          <w:tcPr>
            <w:tcW w:w="1720" w:type="dxa"/>
            <w:vAlign w:val="center"/>
          </w:tcPr>
          <w:p>
            <w:pPr>
              <w:rPr>
                <w:lang w:eastAsia="ja-JP"/>
              </w:rPr>
            </w:pPr>
          </w:p>
        </w:tc>
        <w:tc>
          <w:tcPr>
            <w:tcW w:w="1370" w:type="dxa"/>
            <w:vAlign w:val="center"/>
          </w:tcPr>
          <w:p>
            <w:pPr>
              <w:rPr>
                <w:lang w:eastAsia="ja-JP"/>
              </w:rPr>
            </w:pPr>
          </w:p>
        </w:tc>
        <w:tc>
          <w:tcPr>
            <w:tcW w:w="153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186" w:type="dxa"/>
            <w:vAlign w:val="center"/>
          </w:tcPr>
          <w:p>
            <w:pPr>
              <w:rPr>
                <w:lang w:eastAsia="ja-JP"/>
              </w:rPr>
            </w:pPr>
          </w:p>
        </w:tc>
        <w:tc>
          <w:tcPr>
            <w:tcW w:w="1720" w:type="dxa"/>
            <w:vAlign w:val="center"/>
          </w:tcPr>
          <w:p>
            <w:pPr>
              <w:rPr>
                <w:lang w:eastAsia="ja-JP"/>
              </w:rPr>
            </w:pPr>
          </w:p>
        </w:tc>
        <w:tc>
          <w:tcPr>
            <w:tcW w:w="1370" w:type="dxa"/>
            <w:vAlign w:val="center"/>
          </w:tcPr>
          <w:p>
            <w:pPr>
              <w:rPr>
                <w:lang w:eastAsia="ja-JP"/>
              </w:rPr>
            </w:pPr>
          </w:p>
        </w:tc>
        <w:tc>
          <w:tcPr>
            <w:tcW w:w="153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186" w:type="dxa"/>
            <w:vAlign w:val="center"/>
          </w:tcPr>
          <w:p>
            <w:pPr>
              <w:rPr>
                <w:lang w:eastAsia="ja-JP"/>
              </w:rPr>
            </w:pPr>
          </w:p>
        </w:tc>
        <w:tc>
          <w:tcPr>
            <w:tcW w:w="1720" w:type="dxa"/>
            <w:vAlign w:val="center"/>
          </w:tcPr>
          <w:p>
            <w:pPr>
              <w:rPr>
                <w:lang w:eastAsia="ja-JP"/>
              </w:rPr>
            </w:pPr>
          </w:p>
        </w:tc>
        <w:tc>
          <w:tcPr>
            <w:tcW w:w="1370" w:type="dxa"/>
            <w:vAlign w:val="center"/>
          </w:tcPr>
          <w:p>
            <w:pPr>
              <w:rPr>
                <w:lang w:eastAsia="ja-JP"/>
              </w:rPr>
            </w:pPr>
          </w:p>
        </w:tc>
        <w:tc>
          <w:tcPr>
            <w:tcW w:w="153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2021-N1QMS-4021820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组员</w:t>
            </w:r>
          </w:p>
        </w:tc>
        <w:tc>
          <w:tcPr>
            <w:tcW w:w="711" w:type="dxa"/>
            <w:vAlign w:val="center"/>
          </w:tcPr>
          <w:p>
            <w:r>
              <w:t>女</w:t>
            </w:r>
          </w:p>
        </w:tc>
        <w:tc>
          <w:tcPr>
            <w:tcW w:w="3870" w:type="dxa"/>
            <w:vAlign w:val="center"/>
          </w:tcPr>
          <w:p>
            <w:r>
              <w:t>2022-N1QMS-4022240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马邦勇</w:t>
            </w:r>
          </w:p>
        </w:tc>
        <w:tc>
          <w:tcPr>
            <w:tcW w:w="1089" w:type="dxa"/>
            <w:vAlign w:val="center"/>
          </w:tcPr>
          <w:p>
            <w:r>
              <w:t>组员</w:t>
            </w:r>
          </w:p>
        </w:tc>
        <w:tc>
          <w:tcPr>
            <w:tcW w:w="711" w:type="dxa"/>
            <w:vAlign w:val="center"/>
          </w:tcPr>
          <w:p>
            <w:r>
              <w:t>男</w:t>
            </w:r>
          </w:p>
        </w:tc>
        <w:tc>
          <w:tcPr>
            <w:tcW w:w="3870" w:type="dxa"/>
            <w:vAlign w:val="center"/>
          </w:tcPr>
          <w:p>
            <w:r>
              <w:t>ISC-JSZJ-616</w:t>
            </w:r>
          </w:p>
          <w:p>
            <w:r>
              <w:t>石家庄步沐电子有限公司</w:t>
            </w:r>
          </w:p>
        </w:tc>
        <w:tc>
          <w:tcPr>
            <w:tcW w:w="2179" w:type="dxa"/>
            <w:vAlign w:val="center"/>
          </w:tcPr>
          <w:p>
            <w:r>
              <w:t>19.01.01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一阶段审核发生认证范围变更，见变更传递单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pPr>
        <w:pStyle w:val="25"/>
      </w:pP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李丽英</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2023.3.10</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A3"/>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rFonts w:hint="default"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r>
              <w:rPr>
                <w:rFonts w:hint="eastAsia"/>
                <w:b/>
                <w:bCs/>
                <w:lang w:val="en-GB" w:eastAsia="zh-CN"/>
              </w:rPr>
              <w:t>——</w:t>
            </w:r>
            <w:r>
              <w:rPr>
                <w:rFonts w:hint="eastAsia"/>
                <w:b/>
                <w:bCs/>
                <w:lang w:val="en-US" w:eastAsia="zh-CN"/>
              </w:rPr>
              <w:t>无外包过程</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ascii="Times New Roman" w:hAnsi="Times New Roman" w:eastAsia="宋体" w:cs="Times New Roman"/>
                <w:b/>
                <w:bCs/>
                <w:color w:val="000000"/>
                <w:szCs w:val="18"/>
              </w:rPr>
            </w:pPr>
            <w:r>
              <w:rPr>
                <w:rFonts w:hint="eastAsia"/>
              </w:rPr>
              <w:t>QMS最高管理者应确及证实其以顾客为关注焦点的领导作用和承诺；通过——</w:t>
            </w:r>
          </w:p>
          <w:p>
            <w:pPr>
              <w:shd w:val="clear" w:color="auto" w:fill="C7DAF1" w:themeFill="text2" w:themeFillTint="32"/>
            </w:pP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ascii="Times New Roman" w:hAnsi="Times New Roman" w:eastAsia="宋体" w:cs="Times New Roman"/>
                <w:b/>
                <w:bCs/>
                <w:color w:val="000000"/>
                <w:szCs w:val="18"/>
              </w:rPr>
            </w:pPr>
            <w:r>
              <w:rPr>
                <w:rFonts w:hint="eastAsia"/>
              </w:rPr>
              <w:t>最高管理者制定了文件化的管理体系方针：</w:t>
            </w:r>
            <w:r>
              <w:rPr>
                <w:rFonts w:hint="eastAsia" w:ascii="Times New Roman" w:hAnsi="Times New Roman" w:eastAsia="宋体" w:cs="Times New Roman"/>
                <w:b/>
                <w:bCs/>
                <w:color w:val="000000"/>
                <w:szCs w:val="18"/>
                <w:lang w:eastAsia="zh-CN"/>
              </w:rPr>
              <w:t>质量为本，诚信服务，科技进步，创新发展</w:t>
            </w:r>
          </w:p>
          <w:p>
            <w:pPr>
              <w:shd w:val="clear" w:color="auto" w:fill="C7DAF1" w:themeFill="text2" w:themeFillTint="32"/>
            </w:pP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default" w:ascii="Times New Roman" w:hAnsi="Times New Roman" w:eastAsia="宋体" w:cs="Times New Roman"/>
                      <w:kern w:val="2"/>
                      <w:sz w:val="21"/>
                      <w:szCs w:val="24"/>
                      <w:vertAlign w:val="baseline"/>
                      <w:lang w:val="en-US" w:eastAsia="zh-CN" w:bidi="ar-SA"/>
                    </w:rPr>
                  </w:pPr>
                  <w:r>
                    <w:rPr>
                      <w:rFonts w:hint="eastAsia"/>
                    </w:rPr>
                    <w:t>对市场需要产品的发展趋势判断失误。</w:t>
                  </w:r>
                </w:p>
              </w:tc>
              <w:tc>
                <w:tcPr>
                  <w:tcW w:w="3965" w:type="dxa"/>
                  <w:vAlign w:val="top"/>
                </w:tcPr>
                <w:p>
                  <w:pPr>
                    <w:rPr>
                      <w:rFonts w:hint="eastAsia" w:ascii="Times New Roman" w:hAnsi="Times New Roman" w:eastAsia="宋体" w:cs="Times New Roman"/>
                      <w:kern w:val="2"/>
                      <w:sz w:val="21"/>
                      <w:szCs w:val="24"/>
                      <w:vertAlign w:val="baseline"/>
                      <w:lang w:val="en-US" w:eastAsia="zh-CN" w:bidi="ar-SA"/>
                    </w:rPr>
                  </w:pPr>
                  <w:r>
                    <w:rPr>
                      <w:rFonts w:hint="eastAsia"/>
                    </w:rPr>
                    <w:t>对市场需求产品的发展趋势分析应该经过反复论证。</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rPr>
                    <w:t>客户要求识别不完整。</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rPr>
                    <w:t>对客户的要求实施监视和测量</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rPr>
                    <w:t>未能确保能够满足客户要求就签署合同</w:t>
                  </w:r>
                </w:p>
              </w:tc>
              <w:tc>
                <w:tcPr>
                  <w:tcW w:w="3965" w:type="dxa"/>
                  <w:vAlign w:val="top"/>
                </w:tcPr>
                <w:p>
                  <w:r>
                    <w:rPr>
                      <w:rFonts w:hint="eastAsia"/>
                    </w:rPr>
                    <w:t>在确定与客户签署合同前落实合同评审事宜。相关文件：</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rPr>
                    <w:t>《产品和服务要求控制程序》</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1.产品一次交验合格率≥9</w:t>
                  </w:r>
                  <w:r>
                    <w:rPr>
                      <w:rFonts w:hint="eastAsia" w:ascii="Times New Roman" w:hAnsi="Times New Roman" w:eastAsia="宋体" w:cs="Times New Roman"/>
                      <w:color w:val="000000"/>
                      <w:szCs w:val="18"/>
                      <w:lang w:val="en-US" w:eastAsia="zh-CN"/>
                    </w:rPr>
                    <w:t>8</w:t>
                  </w:r>
                  <w:r>
                    <w:rPr>
                      <w:rFonts w:hint="eastAsia" w:ascii="Times New Roman" w:hAnsi="Times New Roman" w:eastAsia="宋体" w:cs="Times New Roman"/>
                      <w:color w:val="000000"/>
                      <w:szCs w:val="18"/>
                    </w:rPr>
                    <w:t>%</w:t>
                  </w:r>
                </w:p>
              </w:tc>
              <w:tc>
                <w:tcPr>
                  <w:tcW w:w="313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2"/>
                      <w:sz w:val="21"/>
                      <w:szCs w:val="18"/>
                      <w:lang w:val="en-GB" w:eastAsia="zh-CN" w:bidi="ar-SA"/>
                    </w:rPr>
                  </w:pPr>
                  <w:r>
                    <w:rPr>
                      <w:rFonts w:hint="eastAsia" w:ascii="宋体" w:hAnsi="宋体"/>
                      <w:color w:val="auto"/>
                      <w:kern w:val="0"/>
                      <w:sz w:val="21"/>
                      <w:szCs w:val="21"/>
                    </w:rPr>
                    <w:t>产品交付的合格数量与交付总量之比</w:t>
                  </w:r>
                </w:p>
              </w:tc>
              <w:tc>
                <w:tcPr>
                  <w:tcW w:w="135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生技部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2.顾客满意率≥9</w:t>
                  </w:r>
                  <w:r>
                    <w:rPr>
                      <w:rFonts w:hint="eastAsia" w:ascii="Times New Roman" w:hAnsi="Times New Roman" w:eastAsia="宋体" w:cs="Times New Roman"/>
                      <w:color w:val="000000"/>
                      <w:szCs w:val="18"/>
                      <w:lang w:val="en-US" w:eastAsia="zh-CN"/>
                    </w:rPr>
                    <w:t>8</w:t>
                  </w:r>
                  <w:r>
                    <w:rPr>
                      <w:rFonts w:hint="eastAsia" w:ascii="Times New Roman" w:hAnsi="Times New Roman" w:eastAsia="宋体" w:cs="Times New Roman"/>
                      <w:color w:val="000000"/>
                      <w:szCs w:val="18"/>
                    </w:rPr>
                    <w:t>%</w:t>
                  </w:r>
                </w:p>
              </w:tc>
              <w:tc>
                <w:tcPr>
                  <w:tcW w:w="313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宋体" w:cs="Times New Roman"/>
                      <w:color w:val="000000"/>
                      <w:kern w:val="2"/>
                      <w:sz w:val="21"/>
                      <w:szCs w:val="18"/>
                      <w:lang w:val="en-US" w:eastAsia="zh-CN" w:bidi="ar-SA"/>
                    </w:rPr>
                  </w:pPr>
                  <w:r>
                    <w:rPr>
                      <w:rFonts w:hint="eastAsia" w:ascii="宋体" w:hAnsi="宋体"/>
                      <w:color w:val="auto"/>
                      <w:kern w:val="0"/>
                      <w:sz w:val="21"/>
                      <w:szCs w:val="21"/>
                      <w:lang w:eastAsia="zh-CN"/>
                    </w:rPr>
                    <w:t>调查分数之和</w:t>
                  </w:r>
                  <w:r>
                    <w:rPr>
                      <w:rFonts w:hint="eastAsia" w:ascii="宋体" w:hAnsi="宋体"/>
                      <w:color w:val="auto"/>
                      <w:kern w:val="0"/>
                      <w:sz w:val="21"/>
                      <w:szCs w:val="21"/>
                      <w:lang w:val="en-US" w:eastAsia="zh-CN"/>
                    </w:rPr>
                    <w:t>/（调查表数*100分）</w:t>
                  </w:r>
                </w:p>
              </w:tc>
              <w:tc>
                <w:tcPr>
                  <w:tcW w:w="135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办公室</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432</w:t>
            </w:r>
            <w:r>
              <w:rPr>
                <w:rFonts w:hint="eastAsia"/>
              </w:rPr>
              <w:t>平方米；生产车间</w:t>
            </w:r>
            <w:r>
              <w:rPr>
                <w:rFonts w:hint="eastAsia"/>
                <w:lang w:val="en-US" w:eastAsia="zh-CN"/>
              </w:rPr>
              <w:t>4</w:t>
            </w:r>
            <w:r>
              <w:rPr>
                <w:rFonts w:hint="eastAsia"/>
              </w:rPr>
              <w:t>个；库房</w:t>
            </w:r>
            <w:r>
              <w:rPr>
                <w:rFonts w:hint="eastAsia"/>
                <w:lang w:val="en-US" w:eastAsia="zh-CN"/>
              </w:rPr>
              <w:t>1</w:t>
            </w:r>
            <w:r>
              <w:rPr>
                <w:rFonts w:hint="eastAsia"/>
              </w:rPr>
              <w:t>个；实验室</w:t>
            </w:r>
            <w:r>
              <w:rPr>
                <w:rFonts w:hint="eastAsia"/>
                <w:lang w:eastAsia="zh-CN"/>
              </w:rPr>
              <w:t>——</w:t>
            </w:r>
            <w:r>
              <w:rPr>
                <w:rFonts w:hint="eastAsia"/>
              </w:rPr>
              <w:t>个；</w:t>
            </w:r>
          </w:p>
          <w:p>
            <w:pPr>
              <w:shd w:val="clear" w:color="auto" w:fill="C7DAF1" w:themeFill="text2" w:themeFillTint="32"/>
              <w:rPr>
                <w:u w:val="single"/>
              </w:rPr>
            </w:pPr>
            <w:r>
              <w:rPr>
                <w:rFonts w:hint="eastAsia"/>
                <w:highlight w:val="none"/>
              </w:rPr>
              <w:t>主要生产设备有：</w:t>
            </w:r>
            <w:r>
              <w:rPr>
                <w:rFonts w:hint="eastAsia" w:ascii="Times New Roman" w:hAnsi="Times New Roman" w:eastAsia="宋体" w:cs="Times New Roman"/>
                <w:szCs w:val="22"/>
                <w:highlight w:val="none"/>
                <w:u w:val="single"/>
                <w:vertAlign w:val="baseline"/>
                <w:lang w:val="en-US" w:eastAsia="zh-CN"/>
              </w:rPr>
              <w:t>工作台、桌椅板凳、剪子、小型剪切设备、显微镜</w:t>
            </w:r>
            <w:r>
              <w:rPr>
                <w:rFonts w:hint="eastAsia"/>
                <w:u w:val="single"/>
              </w:rPr>
              <w:t>（列举2~4种）</w:t>
            </w:r>
          </w:p>
          <w:p>
            <w:pPr>
              <w:widowControl/>
              <w:spacing w:before="40"/>
              <w:jc w:val="left"/>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lang w:eastAsia="zh-CN"/>
              </w:rPr>
              <w:t>（</w:t>
            </w:r>
            <w:r>
              <w:rPr>
                <w:rFonts w:hint="eastAsia"/>
                <w:lang w:val="en-US" w:eastAsia="zh-CN"/>
              </w:rPr>
              <w:t>货梯</w:t>
            </w:r>
            <w:r>
              <w:rPr>
                <w:rFonts w:hint="eastAsia"/>
                <w:lang w:eastAsia="zh-CN"/>
              </w:rPr>
              <w:t>）</w:t>
            </w:r>
            <w:r>
              <w:rPr>
                <w:rFonts w:hint="eastAsia"/>
                <w:color w:val="000000"/>
                <w:szCs w:val="21"/>
                <w:highlight w:val="none"/>
                <w:lang w:eastAsia="zh-CN"/>
              </w:rPr>
              <w:t>（</w:t>
            </w:r>
            <w:r>
              <w:rPr>
                <w:rFonts w:hint="eastAsia"/>
                <w:color w:val="000000"/>
                <w:szCs w:val="21"/>
                <w:highlight w:val="none"/>
                <w:lang w:val="en-US" w:eastAsia="zh-CN"/>
              </w:rPr>
              <w:t>公用，企业给租赁方支付相关管理费用，</w:t>
            </w:r>
            <w:r>
              <w:rPr>
                <w:rFonts w:hint="eastAsia"/>
                <w:color w:val="000000"/>
                <w:lang w:val="en-US" w:eastAsia="zh-CN"/>
              </w:rPr>
              <w:t>企业经营过程</w:t>
            </w:r>
            <w:r>
              <w:rPr>
                <w:rFonts w:hint="eastAsia" w:ascii="Times New Roman" w:hAnsi="Times New Roman" w:eastAsia="宋体" w:cs="Times New Roman"/>
                <w:color w:val="000000"/>
                <w:szCs w:val="22"/>
                <w:lang w:val="en-US" w:eastAsia="zh-CN"/>
              </w:rPr>
              <w:t>不涉及电梯的管理</w:t>
            </w:r>
            <w:r>
              <w:rPr>
                <w:rFonts w:hint="eastAsia"/>
                <w:color w:val="000000"/>
                <w:szCs w:val="21"/>
                <w:highlight w:val="none"/>
                <w:lang w:eastAsia="zh-CN"/>
              </w:rPr>
              <w:t>），</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r>
              <w:rPr>
                <w:rFonts w:hint="eastAsia"/>
                <w:lang w:eastAsia="zh-CN"/>
              </w:rPr>
              <w:t>——</w:t>
            </w:r>
            <w:r>
              <w:rPr>
                <w:rFonts w:hint="eastAsia"/>
                <w:lang w:val="en-US" w:eastAsia="zh-CN"/>
              </w:rPr>
              <w:t>不涉及。</w:t>
            </w:r>
            <w:r>
              <w:rPr>
                <w:rFonts w:hint="eastAsia"/>
                <w:color w:val="000000"/>
                <w:u w:val="single"/>
                <w:lang w:val="en-US" w:eastAsia="zh-CN"/>
              </w:rPr>
              <w:t>该企业产品检验主要是由人员目测，部分产品过程检验使用显微镜（主要观测位置是否合理、是否有毛边等），绑丝产品铜丝长度检验使用规定的垫板纸（通常使用A4纸），客户来件核实量时（必要时）使用小型电子秤（由客户提供）等</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无 </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highlight w:val="none"/>
                <w:lang w:eastAsia="zh-CN"/>
              </w:rPr>
              <w:sym w:font="Wingdings 2" w:char="00A3"/>
            </w:r>
            <w:r>
              <w:rPr>
                <w:rFonts w:hint="eastAsia"/>
                <w:highlight w:val="none"/>
              </w:rPr>
              <w:t>电工</w:t>
            </w:r>
            <w:r>
              <w:rPr>
                <w:rFonts w:hint="eastAsia" w:ascii="Wingdings" w:hAnsi="Wingdings"/>
                <w:lang w:eastAsia="zh-CN"/>
              </w:rPr>
              <w:sym w:font="Wingdings 2" w:char="00A3"/>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   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电子元器件</w:t>
                  </w:r>
                </w:p>
              </w:tc>
              <w:tc>
                <w:tcPr>
                  <w:tcW w:w="3665" w:type="dxa"/>
                </w:tcPr>
                <w:p>
                  <w:r>
                    <w:rPr>
                      <w:rFonts w:hint="eastAsia" w:ascii="Times New Roman" w:hAnsi="Times New Roman" w:eastAsia="宋体" w:cs="Times New Roman"/>
                      <w:color w:val="000000"/>
                      <w:highlight w:val="none"/>
                      <w:lang w:val="en-US" w:eastAsia="zh-CN"/>
                    </w:rPr>
                    <w:t>用铜丝手工绑紧</w:t>
                  </w:r>
                  <w:r>
                    <w:rPr>
                      <w:rFonts w:hint="eastAsia" w:ascii="Times New Roman" w:hAnsi="Times New Roman" w:eastAsia="宋体" w:cs="Times New Roman"/>
                      <w:color w:val="000000"/>
                      <w:highlight w:val="none"/>
                    </w:rPr>
                    <w:t>；</w:t>
                  </w:r>
                </w:p>
              </w:tc>
              <w:tc>
                <w:tcPr>
                  <w:tcW w:w="3265" w:type="dxa"/>
                </w:tcPr>
                <w:p>
                  <w:pP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松紧度适宜；</w:t>
                  </w:r>
                </w:p>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color w:val="000000"/>
                <w:highlight w:val="none"/>
                <w:lang w:val="en-US" w:eastAsia="zh-CN"/>
              </w:rPr>
              <w:t>用铜丝手工绑紧</w:t>
            </w:r>
            <w:r>
              <w:rPr>
                <w:rFonts w:hint="eastAsia" w:ascii="Times New Roman" w:hAnsi="Times New Roman" w:eastAsia="宋体" w:cs="Times New Roman"/>
                <w:color w:val="000000"/>
                <w:highlight w:val="none"/>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lang w:eastAsia="zh-CN"/>
              </w:rPr>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sym w:font="Wingdings 2" w:char="00A3"/>
            </w:r>
            <w:r>
              <w:rPr>
                <w:rFonts w:hint="eastAsia"/>
              </w:rPr>
              <w:t>其他</w:t>
            </w:r>
            <w:r>
              <w:rPr>
                <w:rFonts w:hint="eastAsia"/>
                <w:lang w:eastAsia="zh-CN"/>
              </w:rPr>
              <w:t>——</w:t>
            </w:r>
          </w:p>
          <w:p>
            <w:pPr>
              <w:shd w:val="clear" w:color="auto" w:fill="C7DAF1" w:themeFill="text2" w:themeFillTint="32"/>
              <w:jc w:val="left"/>
              <w:rPr>
                <w:rFonts w:hint="eastAsia"/>
                <w:lang w:eastAsia="zh-CN"/>
              </w:rPr>
            </w:pP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rPr>
                <w:rFonts w:hint="default" w:eastAsia="宋体"/>
                <w:lang w:val="en-US" w:eastAsia="zh-CN"/>
              </w:rPr>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sym w:font="Wingdings 2" w:char="0052"/>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A3"/>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4" w:name="_GoBack"/>
            <w:bookmarkEnd w:id="34"/>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8D46AC"/>
    <w:rsid w:val="09E77E5E"/>
    <w:rsid w:val="55AD6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样式 设计说明书第三级 + 首行缩进:  2 字符"/>
    <w:basedOn w:val="1"/>
    <w:qFormat/>
    <w:uiPriority w:val="0"/>
    <w:pPr>
      <w:keepNext/>
      <w:keepLines/>
      <w:adjustRightInd/>
      <w:snapToGrid/>
      <w:spacing w:before="100" w:beforeLines="0" w:line="500" w:lineRule="exact"/>
      <w:ind w:firstLine="200" w:firstLineChars="200"/>
      <w:jc w:val="left"/>
      <w:outlineLvl w:val="2"/>
    </w:pPr>
    <w:rPr>
      <w:b/>
      <w:bCs/>
      <w:kern w:val="4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6</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2023-03-10T13:59:48Z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