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187"/>
        <w:gridCol w:w="10373"/>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7"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87"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373" w:type="dxa"/>
            <w:vAlign w:val="center"/>
          </w:tcPr>
          <w:p>
            <w:pPr>
              <w:spacing w:line="360" w:lineRule="auto"/>
              <w:rPr>
                <w:rFonts w:hint="eastAsia" w:eastAsia="宋体"/>
                <w:sz w:val="21"/>
                <w:szCs w:val="21"/>
                <w:lang w:eastAsia="zh-CN"/>
              </w:rPr>
            </w:pPr>
            <w:r>
              <w:rPr>
                <w:rFonts w:hint="eastAsia"/>
                <w:sz w:val="21"/>
                <w:szCs w:val="21"/>
              </w:rPr>
              <w:t>受审核部门：</w:t>
            </w:r>
            <w:r>
              <w:rPr>
                <w:rFonts w:hint="eastAsia"/>
                <w:sz w:val="21"/>
                <w:szCs w:val="21"/>
                <w:lang w:val="en-US" w:eastAsia="zh-CN"/>
              </w:rPr>
              <w:t xml:space="preserve">供销部         </w:t>
            </w:r>
            <w:r>
              <w:rPr>
                <w:sz w:val="21"/>
                <w:szCs w:val="21"/>
              </w:rPr>
              <w:t xml:space="preserve"> </w:t>
            </w:r>
            <w:r>
              <w:rPr>
                <w:rFonts w:hint="eastAsia"/>
                <w:sz w:val="21"/>
                <w:szCs w:val="21"/>
              </w:rPr>
              <w:t>主管领导：</w:t>
            </w:r>
            <w:r>
              <w:rPr>
                <w:rFonts w:hint="eastAsia" w:ascii="宋体" w:hAnsi="宋体" w:cs="宋体"/>
                <w:szCs w:val="21"/>
                <w:lang w:val="en-US" w:eastAsia="zh-CN"/>
              </w:rPr>
              <w:t>潘少军</w:t>
            </w:r>
            <w:r>
              <w:rPr>
                <w:rFonts w:hint="eastAsia"/>
                <w:sz w:val="21"/>
                <w:szCs w:val="21"/>
                <w:lang w:val="en-US" w:eastAsia="zh-CN"/>
              </w:rPr>
              <w:t xml:space="preserve">    </w:t>
            </w:r>
            <w:r>
              <w:rPr>
                <w:sz w:val="21"/>
                <w:szCs w:val="21"/>
              </w:rPr>
              <w:t xml:space="preserve">  </w:t>
            </w:r>
            <w:r>
              <w:rPr>
                <w:rFonts w:hint="eastAsia"/>
                <w:sz w:val="21"/>
                <w:szCs w:val="21"/>
              </w:rPr>
              <w:t>陪同人员：</w:t>
            </w:r>
            <w:r>
              <w:rPr>
                <w:rFonts w:hint="eastAsia"/>
                <w:sz w:val="21"/>
                <w:szCs w:val="21"/>
                <w:lang w:eastAsia="zh-CN"/>
              </w:rPr>
              <w:t>陈治鹏</w:t>
            </w:r>
          </w:p>
        </w:tc>
        <w:tc>
          <w:tcPr>
            <w:tcW w:w="1302"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47" w:type="dxa"/>
            <w:vMerge w:val="continue"/>
            <w:vAlign w:val="center"/>
          </w:tcPr>
          <w:p>
            <w:pPr>
              <w:spacing w:line="360" w:lineRule="auto"/>
            </w:pPr>
          </w:p>
        </w:tc>
        <w:tc>
          <w:tcPr>
            <w:tcW w:w="1187" w:type="dxa"/>
            <w:vMerge w:val="continue"/>
            <w:vAlign w:val="center"/>
          </w:tcPr>
          <w:p>
            <w:pPr>
              <w:spacing w:line="360" w:lineRule="auto"/>
            </w:pPr>
          </w:p>
        </w:tc>
        <w:tc>
          <w:tcPr>
            <w:tcW w:w="10373"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郭力                    </w:t>
            </w:r>
            <w:r>
              <w:rPr>
                <w:rFonts w:hint="eastAsia"/>
                <w:sz w:val="21"/>
                <w:szCs w:val="21"/>
              </w:rPr>
              <w:t>审核时间：202</w:t>
            </w:r>
            <w:r>
              <w:rPr>
                <w:rFonts w:hint="eastAsia"/>
                <w:sz w:val="21"/>
                <w:szCs w:val="21"/>
                <w:lang w:val="en-US" w:eastAsia="zh-CN"/>
              </w:rPr>
              <w:t>3</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15</w:t>
            </w:r>
            <w:r>
              <w:rPr>
                <w:rFonts w:hint="eastAsia"/>
                <w:sz w:val="21"/>
                <w:szCs w:val="21"/>
              </w:rPr>
              <w:t>日</w:t>
            </w:r>
          </w:p>
        </w:tc>
        <w:tc>
          <w:tcPr>
            <w:tcW w:w="1302"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7" w:type="dxa"/>
            <w:vMerge w:val="continue"/>
            <w:vAlign w:val="center"/>
          </w:tcPr>
          <w:p>
            <w:pPr>
              <w:spacing w:line="360" w:lineRule="auto"/>
            </w:pPr>
          </w:p>
        </w:tc>
        <w:tc>
          <w:tcPr>
            <w:tcW w:w="1187" w:type="dxa"/>
            <w:vMerge w:val="continue"/>
            <w:vAlign w:val="center"/>
          </w:tcPr>
          <w:p>
            <w:pPr>
              <w:spacing w:line="360" w:lineRule="auto"/>
            </w:pPr>
          </w:p>
        </w:tc>
        <w:tc>
          <w:tcPr>
            <w:tcW w:w="10373" w:type="dxa"/>
            <w:vAlign w:val="center"/>
          </w:tcPr>
          <w:p>
            <w:pPr>
              <w:adjustRightInd w:val="0"/>
              <w:snapToGrid w:val="0"/>
              <w:spacing w:line="360" w:lineRule="auto"/>
              <w:ind w:right="105" w:rightChars="50"/>
              <w:jc w:val="left"/>
              <w:textAlignment w:val="baseline"/>
              <w:rPr>
                <w:rFonts w:hint="eastAsia"/>
              </w:rPr>
            </w:pPr>
            <w:r>
              <w:rPr>
                <w:rFonts w:hint="eastAsia"/>
              </w:rPr>
              <w:t>审核条款</w:t>
            </w:r>
          </w:p>
          <w:p>
            <w:pPr>
              <w:adjustRightInd w:val="0"/>
              <w:snapToGrid w:val="0"/>
              <w:spacing w:line="360" w:lineRule="auto"/>
              <w:ind w:right="105" w:rightChars="50"/>
              <w:jc w:val="left"/>
              <w:textAlignment w:val="baseline"/>
              <w:rPr>
                <w:rFonts w:hint="eastAsia" w:ascii="宋体" w:hAnsi="宋体" w:eastAsia="宋体" w:cs="新宋体"/>
                <w:sz w:val="18"/>
                <w:szCs w:val="18"/>
                <w:u w:val="none"/>
              </w:rPr>
            </w:pPr>
            <w:r>
              <w:rPr>
                <w:rFonts w:hint="eastAsia" w:ascii="宋体" w:hAnsi="宋体" w:eastAsia="宋体" w:cs="新宋体"/>
                <w:sz w:val="18"/>
                <w:szCs w:val="18"/>
                <w:u w:val="none"/>
              </w:rPr>
              <w:t>Q：5.3；6.2；8.2；8.</w:t>
            </w:r>
            <w:r>
              <w:rPr>
                <w:rFonts w:hint="eastAsia" w:ascii="宋体" w:hAnsi="宋体" w:eastAsia="宋体" w:cs="新宋体"/>
                <w:sz w:val="18"/>
                <w:szCs w:val="18"/>
                <w:u w:val="none"/>
                <w:lang w:val="en-US" w:eastAsia="zh-CN"/>
              </w:rPr>
              <w:t>4</w:t>
            </w:r>
            <w:r>
              <w:rPr>
                <w:rFonts w:hint="eastAsia" w:ascii="宋体" w:hAnsi="宋体" w:eastAsia="宋体" w:cs="新宋体"/>
                <w:sz w:val="18"/>
                <w:szCs w:val="18"/>
                <w:u w:val="none"/>
              </w:rPr>
              <w:t>；8.5</w:t>
            </w:r>
            <w:r>
              <w:rPr>
                <w:rFonts w:hint="eastAsia" w:ascii="宋体" w:hAnsi="宋体" w:eastAsia="宋体" w:cs="新宋体"/>
                <w:sz w:val="18"/>
                <w:szCs w:val="18"/>
                <w:u w:val="none"/>
                <w:lang w:val="en-US" w:eastAsia="zh-CN"/>
              </w:rPr>
              <w:t>.1</w:t>
            </w:r>
            <w:r>
              <w:rPr>
                <w:rFonts w:hint="eastAsia" w:ascii="宋体" w:hAnsi="宋体" w:eastAsia="宋体" w:cs="新宋体"/>
                <w:sz w:val="18"/>
                <w:szCs w:val="18"/>
                <w:u w:val="none"/>
              </w:rPr>
              <w:t>；9.1.2；</w:t>
            </w:r>
          </w:p>
          <w:p>
            <w:pPr>
              <w:adjustRightInd w:val="0"/>
              <w:snapToGrid w:val="0"/>
              <w:spacing w:line="360" w:lineRule="auto"/>
              <w:ind w:right="105" w:rightChars="50"/>
              <w:jc w:val="left"/>
              <w:textAlignment w:val="baseline"/>
              <w:rPr>
                <w:rFonts w:hint="eastAsia" w:ascii="宋体" w:hAnsi="宋体" w:eastAsia="宋体" w:cs="新宋体"/>
                <w:sz w:val="18"/>
                <w:szCs w:val="18"/>
                <w:u w:val="none"/>
              </w:rPr>
            </w:pPr>
            <w:r>
              <w:rPr>
                <w:rFonts w:hint="eastAsia" w:ascii="宋体" w:hAnsi="宋体" w:eastAsia="宋体" w:cs="新宋体"/>
                <w:sz w:val="18"/>
                <w:szCs w:val="18"/>
                <w:u w:val="none"/>
              </w:rPr>
              <w:t>E:5.3；6.2；6.1.2；8.1；8.2</w:t>
            </w:r>
          </w:p>
          <w:p>
            <w:pPr>
              <w:adjustRightInd w:val="0"/>
              <w:snapToGrid w:val="0"/>
              <w:spacing w:line="360" w:lineRule="auto"/>
              <w:ind w:right="105" w:rightChars="50"/>
              <w:jc w:val="left"/>
              <w:textAlignment w:val="baseline"/>
              <w:rPr>
                <w:rFonts w:hint="eastAsia" w:ascii="宋体" w:hAnsi="宋体" w:eastAsia="宋体" w:cs="新宋体"/>
                <w:sz w:val="18"/>
                <w:szCs w:val="18"/>
                <w:u w:val="none"/>
              </w:rPr>
            </w:pPr>
            <w:r>
              <w:rPr>
                <w:rFonts w:hint="eastAsia" w:ascii="宋体" w:hAnsi="宋体" w:eastAsia="宋体" w:cs="新宋体"/>
                <w:sz w:val="18"/>
                <w:szCs w:val="18"/>
                <w:u w:val="none"/>
              </w:rPr>
              <w:t>O:5.3；6.2；6.1.2；8.1；8.2</w:t>
            </w:r>
          </w:p>
        </w:tc>
        <w:tc>
          <w:tcPr>
            <w:tcW w:w="1302"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1187" w:type="dxa"/>
          </w:tcPr>
          <w:p>
            <w:pPr>
              <w:spacing w:line="360" w:lineRule="auto"/>
              <w:rPr>
                <w:rFonts w:ascii="宋体" w:hAnsi="宋体" w:cs="宋体"/>
                <w:szCs w:val="21"/>
              </w:rPr>
            </w:pPr>
            <w:r>
              <w:rPr>
                <w:rFonts w:ascii="宋体" w:cs="宋体"/>
                <w:szCs w:val="21"/>
              </w:rPr>
              <w:t>QE</w:t>
            </w:r>
            <w:r>
              <w:rPr>
                <w:szCs w:val="21"/>
              </w:rPr>
              <w:t>O</w:t>
            </w:r>
            <w:r>
              <w:rPr>
                <w:rFonts w:ascii="宋体" w:cs="宋体"/>
                <w:szCs w:val="21"/>
              </w:rPr>
              <w:t>5.3</w:t>
            </w:r>
          </w:p>
        </w:tc>
        <w:tc>
          <w:tcPr>
            <w:tcW w:w="10373"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按照公司领导要求，做好公司职能和岗位的具体确定，对从事</w:t>
            </w:r>
            <w:r>
              <w:rPr>
                <w:rFonts w:hint="eastAsia" w:ascii="宋体" w:hAnsi="宋体" w:cs="宋体"/>
                <w:szCs w:val="21"/>
                <w:lang w:eastAsia="zh-CN"/>
              </w:rPr>
              <w:t>石油仪器、石油仪器配件及配套工具的设计开发、销售</w:t>
            </w:r>
            <w:r>
              <w:rPr>
                <w:rFonts w:hint="eastAsia" w:ascii="宋体" w:hAnsi="宋体" w:cs="宋体"/>
                <w:szCs w:val="21"/>
              </w:rPr>
              <w:t>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负责人：</w:t>
            </w:r>
            <w:r>
              <w:rPr>
                <w:rFonts w:hint="eastAsia" w:ascii="宋体" w:hAnsi="宋体" w:cs="宋体"/>
                <w:szCs w:val="21"/>
                <w:lang w:val="en-US" w:eastAsia="zh-CN"/>
              </w:rPr>
              <w:t>潘少军</w:t>
            </w:r>
            <w:r>
              <w:rPr>
                <w:rFonts w:hint="eastAsia" w:ascii="宋体" w:hAnsi="宋体" w:cs="宋体"/>
                <w:szCs w:val="21"/>
              </w:rPr>
              <w:t xml:space="preserve"> 。在手册中确定了</w:t>
            </w:r>
            <w:r>
              <w:rPr>
                <w:rFonts w:hint="eastAsia" w:ascii="宋体" w:hAnsi="宋体" w:cs="宋体"/>
                <w:szCs w:val="21"/>
                <w:lang w:eastAsia="zh-CN"/>
              </w:rPr>
              <w:t>供销部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供销部</w:t>
            </w:r>
            <w:r>
              <w:rPr>
                <w:rFonts w:hint="eastAsia" w:ascii="宋体" w:hAnsi="宋体" w:cs="宋体"/>
                <w:szCs w:val="21"/>
              </w:rPr>
              <w:t>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30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top"/>
          </w:tcPr>
          <w:p>
            <w:pPr>
              <w:rPr>
                <w:rFonts w:hint="eastAsia" w:asciiTheme="minorEastAsia" w:hAnsiTheme="minorEastAsia" w:eastAsiaTheme="minorEastAsia" w:cstheme="minorEastAsia"/>
                <w:sz w:val="21"/>
                <w:szCs w:val="21"/>
                <w:highlight w:val="none"/>
                <w:lang w:val="en-US" w:eastAsia="zh-CN"/>
              </w:rPr>
            </w:pP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环境危险源辨识、风险评估</w:t>
            </w:r>
          </w:p>
        </w:tc>
        <w:tc>
          <w:tcPr>
            <w:tcW w:w="1187" w:type="dxa"/>
            <w:vAlign w:val="top"/>
          </w:tcPr>
          <w:p>
            <w:pPr>
              <w:rPr>
                <w:rFonts w:hint="eastAsia" w:asciiTheme="minorEastAsia" w:hAnsiTheme="minorEastAsia" w:eastAsiaTheme="minorEastAsia" w:cstheme="minorEastAsia"/>
                <w:sz w:val="21"/>
                <w:szCs w:val="21"/>
                <w:highlight w:val="none"/>
                <w:lang w:val="en-US" w:eastAsia="zh-CN"/>
              </w:rPr>
            </w:pP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EO:6.1.2</w:t>
            </w:r>
          </w:p>
        </w:tc>
        <w:tc>
          <w:tcPr>
            <w:tcW w:w="10373"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w:t>
            </w:r>
            <w:r>
              <w:rPr>
                <w:rFonts w:hint="eastAsia" w:ascii="宋体" w:hAnsi="宋体" w:cs="宋体"/>
                <w:szCs w:val="21"/>
                <w:lang w:eastAsia="zh-CN"/>
              </w:rPr>
              <w:t>石油仪器、石油仪器配件及配套工具的销售</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cs="宋体"/>
                <w:szCs w:val="21"/>
                <w:lang w:val="en-US" w:eastAsia="zh-CN"/>
              </w:rPr>
              <w:t>生活垃圾的排放、纸箱、包装物的废弃物、电灯产生的废弃物等；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项，包括固废排放（材料包装物废弃、办公垃圾等）、火灾（</w:t>
            </w:r>
            <w:r>
              <w:rPr>
                <w:rFonts w:hint="eastAsia" w:ascii="宋体" w:hAnsi="宋体"/>
                <w:szCs w:val="21"/>
              </w:rPr>
              <w:t>办公</w:t>
            </w:r>
            <w:r>
              <w:rPr>
                <w:rFonts w:hint="eastAsia" w:ascii="宋体" w:hAnsi="宋体"/>
                <w:szCs w:val="21"/>
                <w:lang w:val="en-US" w:eastAsia="zh-CN"/>
              </w:rPr>
              <w:t>过程潜在火灾的发生</w:t>
            </w:r>
            <w:r>
              <w:rPr>
                <w:rFonts w:hint="eastAsia" w:ascii="宋体" w:hAnsi="宋体" w:eastAsia="宋体" w:cs="宋体"/>
                <w:szCs w:val="21"/>
                <w:lang w:val="en-US" w:eastAsia="zh-CN"/>
              </w:rPr>
              <w:t>）</w:t>
            </w: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危险源辨识、风险评价和控制措施的确定</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w:t>
            </w:r>
            <w:r>
              <w:rPr>
                <w:rFonts w:hint="eastAsia" w:ascii="宋体" w:hAnsi="宋体" w:cs="宋体"/>
                <w:szCs w:val="21"/>
                <w:lang w:eastAsia="zh-CN"/>
              </w:rPr>
              <w:t>石油仪器、石油仪器配件及配套工具的销售</w:t>
            </w:r>
            <w:r>
              <w:rPr>
                <w:rFonts w:hint="eastAsia" w:ascii="宋体" w:hAnsi="宋体" w:cs="宋体"/>
                <w:szCs w:val="21"/>
              </w:rPr>
              <w:t>过程</w:t>
            </w:r>
            <w:r>
              <w:rPr>
                <w:rFonts w:hint="eastAsia" w:ascii="宋体" w:hAnsi="宋体" w:cs="宋体"/>
                <w:szCs w:val="21"/>
                <w:lang w:val="en-US" w:eastAsia="zh-CN"/>
              </w:rPr>
              <w:t>等危险源，抽查如下：</w:t>
            </w:r>
          </w:p>
          <w:tbl>
            <w:tblPr>
              <w:tblStyle w:val="9"/>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333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vertAlign w:val="baseline"/>
                      <w:lang w:val="en-US" w:eastAsia="zh-CN"/>
                    </w:rPr>
                  </w:pPr>
                  <w:r>
                    <w:rPr>
                      <w:rFonts w:hint="eastAsia" w:ascii="宋体" w:hAnsi="宋体" w:cs="宋体"/>
                      <w:szCs w:val="21"/>
                      <w:lang w:val="en-US" w:eastAsia="zh-CN"/>
                    </w:rPr>
                    <w:t>作业活动</w:t>
                  </w:r>
                </w:p>
              </w:tc>
              <w:tc>
                <w:tcPr>
                  <w:tcW w:w="3332" w:type="dxa"/>
                </w:tcPr>
                <w:p>
                  <w:pPr>
                    <w:pStyle w:val="3"/>
                    <w:rPr>
                      <w:rFonts w:hint="eastAsia"/>
                      <w:vertAlign w:val="baseline"/>
                      <w:lang w:val="en-US" w:eastAsia="zh-CN"/>
                    </w:rPr>
                  </w:pPr>
                  <w:r>
                    <w:rPr>
                      <w:rFonts w:hint="eastAsia" w:ascii="宋体" w:hAnsi="宋体" w:cs="宋体"/>
                      <w:szCs w:val="21"/>
                      <w:lang w:val="en-US" w:eastAsia="zh-CN"/>
                    </w:rPr>
                    <w:t xml:space="preserve"> 危险源</w:t>
                  </w:r>
                </w:p>
              </w:tc>
              <w:tc>
                <w:tcPr>
                  <w:tcW w:w="2469" w:type="dxa"/>
                </w:tcPr>
                <w:p>
                  <w:pPr>
                    <w:pStyle w:val="3"/>
                    <w:rPr>
                      <w:rFonts w:hint="eastAsia"/>
                      <w:vertAlign w:val="baseline"/>
                      <w:lang w:val="en-US" w:eastAsia="zh-CN"/>
                    </w:rPr>
                  </w:pPr>
                  <w:r>
                    <w:rPr>
                      <w:rFonts w:hint="eastAsia" w:ascii="宋体" w:hAnsi="宋体" w:cs="宋体"/>
                      <w:szCs w:val="21"/>
                      <w:lang w:val="en-US" w:eastAsia="zh-CN"/>
                    </w:rPr>
                    <w:t xml:space="preserve">  导致的后果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电危害</w:t>
                  </w:r>
                </w:p>
              </w:tc>
              <w:tc>
                <w:tcPr>
                  <w:tcW w:w="3332"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各类电气插座、插头老化</w:t>
                  </w:r>
                </w:p>
              </w:tc>
              <w:tc>
                <w:tcPr>
                  <w:tcW w:w="2469"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ind w:left="0" w:leftChars="0" w:firstLine="0" w:firstLineChars="0"/>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人员外出的车辆、和下车间检查运转</w:t>
                  </w:r>
                </w:p>
              </w:tc>
              <w:tc>
                <w:tcPr>
                  <w:tcW w:w="3332"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设备的危害</w:t>
                  </w:r>
                </w:p>
              </w:tc>
              <w:tc>
                <w:tcPr>
                  <w:tcW w:w="2469" w:type="dxa"/>
                </w:tcPr>
                <w:p>
                  <w:pPr>
                    <w:pStyle w:val="3"/>
                    <w:ind w:left="0" w:leftChars="0" w:firstLine="0" w:firstLineChars="0"/>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交通事故/机械伤害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标志缺陷</w:t>
                  </w:r>
                </w:p>
              </w:tc>
              <w:tc>
                <w:tcPr>
                  <w:tcW w:w="3332"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办公大楼消防标志不规范</w:t>
                  </w:r>
                </w:p>
              </w:tc>
              <w:tc>
                <w:tcPr>
                  <w:tcW w:w="2469"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 xml:space="preserve">  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传染病媒介物</w:t>
                  </w:r>
                </w:p>
              </w:tc>
              <w:tc>
                <w:tcPr>
                  <w:tcW w:w="3332" w:type="dxa"/>
                </w:tcPr>
                <w:p>
                  <w:pPr>
                    <w:pStyle w:val="3"/>
                    <w:ind w:left="0" w:leftChars="0" w:firstLine="0" w:firstLineChars="0"/>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个别人员患传染病在不知道的情况下传染给他人</w:t>
                  </w:r>
                </w:p>
              </w:tc>
              <w:tc>
                <w:tcPr>
                  <w:tcW w:w="2469" w:type="dxa"/>
                </w:tcPr>
                <w:p>
                  <w:pPr>
                    <w:pStyle w:val="3"/>
                    <w:rPr>
                      <w:rFonts w:hint="eastAsia"/>
                      <w:vertAlign w:val="baseline"/>
                      <w:lang w:val="en-US" w:eastAsia="zh-CN"/>
                    </w:rPr>
                  </w:pPr>
                  <w:r>
                    <w:rPr>
                      <w:rFonts w:hint="eastAsia" w:asciiTheme="minorEastAsia" w:hAnsiTheme="minorEastAsia" w:eastAsiaTheme="minorEastAsia" w:cstheme="minorEastAsia"/>
                      <w:sz w:val="21"/>
                      <w:szCs w:val="21"/>
                      <w:highlight w:val="none"/>
                      <w:lang w:val="en-US" w:eastAsia="zh-CN"/>
                    </w:rPr>
                    <w:t>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交通运输</w:t>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疲劳驾驶、违章驾驶</w:t>
                  </w:r>
                </w:p>
              </w:tc>
              <w:tc>
                <w:tcPr>
                  <w:tcW w:w="2469"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暑期办公</w:t>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高温作业</w:t>
                  </w:r>
                </w:p>
              </w:tc>
              <w:tc>
                <w:tcPr>
                  <w:tcW w:w="2469"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办公</w:t>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办公区未配备消防器材或器材过期损坏、不会使用消防器材</w:t>
                  </w:r>
                </w:p>
              </w:tc>
              <w:tc>
                <w:tcPr>
                  <w:tcW w:w="2469"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日常办公管理</w:t>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抽烟</w:t>
                  </w:r>
                </w:p>
              </w:tc>
              <w:tc>
                <w:tcPr>
                  <w:tcW w:w="2469"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火灾、健康损害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上下楼梯</w:t>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地面不平、不小心</w:t>
                  </w:r>
                  <w:r>
                    <w:rPr>
                      <w:rFonts w:hint="eastAsia" w:asciiTheme="minorEastAsia" w:hAnsiTheme="minorEastAsia" w:eastAsiaTheme="minorEastAsia" w:cstheme="minorEastAsia"/>
                      <w:sz w:val="21"/>
                      <w:szCs w:val="21"/>
                      <w:highlight w:val="none"/>
                      <w:lang w:val="en-US" w:eastAsia="zh-CN"/>
                    </w:rPr>
                    <w:tab/>
                  </w:r>
                </w:p>
              </w:tc>
              <w:tc>
                <w:tcPr>
                  <w:tcW w:w="2469" w:type="dxa"/>
                </w:tcPr>
                <w:p>
                  <w:pPr>
                    <w:pStyle w:val="15"/>
                    <w:ind w:firstLine="46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引起火灾</w:t>
                  </w:r>
                </w:p>
              </w:tc>
              <w:tc>
                <w:tcPr>
                  <w:tcW w:w="2469"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生产过程 </w:t>
                  </w:r>
                </w:p>
              </w:tc>
              <w:tc>
                <w:tcPr>
                  <w:tcW w:w="3332" w:type="dxa"/>
                </w:tcPr>
                <w:p>
                  <w:pPr>
                    <w:pStyle w:val="3"/>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设备操作不当</w:t>
                  </w:r>
                </w:p>
              </w:tc>
              <w:tc>
                <w:tcPr>
                  <w:tcW w:w="2469" w:type="dxa"/>
                </w:tcPr>
                <w:p>
                  <w:pPr>
                    <w:pStyle w:val="3"/>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机械伤害 </w:t>
                  </w:r>
                </w:p>
              </w:tc>
            </w:tr>
          </w:tbl>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见《不可接受危险源清单》，触电、火灾伤害、机械伤害。</w:t>
            </w:r>
          </w:p>
          <w:p>
            <w:pPr>
              <w:pStyle w:val="15"/>
              <w:rPr>
                <w:rFonts w:ascii="宋体" w:hAnsi="宋体" w:cs="宋体"/>
                <w:szCs w:val="21"/>
              </w:rPr>
            </w:pPr>
            <w:r>
              <w:rPr>
                <w:rFonts w:hint="eastAsia" w:asciiTheme="minorEastAsia" w:hAnsiTheme="minorEastAsia" w:eastAsiaTheme="minorEastAsia" w:cstheme="minorEastAsia"/>
                <w:bCs w:val="0"/>
                <w:spacing w:val="0"/>
                <w:kern w:val="2"/>
                <w:sz w:val="21"/>
                <w:szCs w:val="21"/>
                <w:highlight w:val="none"/>
                <w:lang w:val="en-US" w:eastAsia="zh-CN" w:bidi="ar-SA"/>
              </w:rPr>
              <w:t>以上</w:t>
            </w:r>
            <w:r>
              <w:rPr>
                <w:rFonts w:hint="eastAsia" w:asciiTheme="minorEastAsia" w:hAnsiTheme="minorEastAsia" w:eastAsiaTheme="minorEastAsia" w:cstheme="minorEastAsia"/>
                <w:sz w:val="21"/>
                <w:szCs w:val="21"/>
                <w:highlight w:val="none"/>
                <w:lang w:val="en-US" w:eastAsia="zh-CN"/>
              </w:rPr>
              <w:t>不可接受危险源清单</w:t>
            </w:r>
            <w:r>
              <w:rPr>
                <w:rFonts w:hint="eastAsia" w:asciiTheme="minorEastAsia" w:hAnsiTheme="minorEastAsia" w:eastAsiaTheme="minorEastAsia" w:cstheme="minorEastAsia"/>
                <w:bCs w:val="0"/>
                <w:spacing w:val="0"/>
                <w:kern w:val="2"/>
                <w:sz w:val="21"/>
                <w:szCs w:val="21"/>
                <w:highlight w:val="none"/>
                <w:lang w:val="en-US" w:eastAsia="zh-CN" w:bidi="ar-SA"/>
              </w:rPr>
              <w:t>中制定了针对性控制措施，措施基本有效。</w:t>
            </w:r>
          </w:p>
        </w:tc>
        <w:tc>
          <w:tcPr>
            <w:tcW w:w="1302"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847"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1187" w:type="dxa"/>
          </w:tcPr>
          <w:p>
            <w:pPr>
              <w:spacing w:line="360" w:lineRule="auto"/>
              <w:rPr>
                <w:szCs w:val="21"/>
              </w:rPr>
            </w:pPr>
            <w:r>
              <w:rPr>
                <w:rFonts w:hint="eastAsia"/>
                <w:szCs w:val="21"/>
              </w:rPr>
              <w:t>Q6.2</w:t>
            </w:r>
          </w:p>
          <w:p>
            <w:pPr>
              <w:spacing w:line="360" w:lineRule="auto"/>
              <w:rPr>
                <w:szCs w:val="21"/>
              </w:rPr>
            </w:pPr>
            <w:r>
              <w:rPr>
                <w:rFonts w:hint="eastAsia"/>
                <w:szCs w:val="21"/>
                <w:lang w:val="en-US" w:eastAsia="zh-CN"/>
              </w:rPr>
              <w:t>E</w:t>
            </w:r>
            <w:r>
              <w:rPr>
                <w:szCs w:val="21"/>
              </w:rPr>
              <w:t>O</w:t>
            </w:r>
            <w:r>
              <w:rPr>
                <w:rFonts w:hint="eastAsia"/>
                <w:szCs w:val="21"/>
              </w:rPr>
              <w:t>6.2.1</w:t>
            </w:r>
          </w:p>
        </w:tc>
        <w:tc>
          <w:tcPr>
            <w:tcW w:w="10373"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供销部涉及的目标及实现情况是：</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1）销售产品及时交付</w:t>
            </w:r>
            <w:r>
              <w:rPr>
                <w:rFonts w:hint="eastAsia" w:ascii="宋体" w:hAnsi="宋体" w:eastAsia="宋体" w:cs="宋体"/>
                <w:color w:val="auto"/>
                <w:sz w:val="21"/>
                <w:szCs w:val="21"/>
              </w:rPr>
              <w:t>率100%；</w:t>
            </w:r>
            <w:r>
              <w:rPr>
                <w:rFonts w:hint="eastAsia" w:ascii="宋体" w:hAnsi="宋体" w:eastAsia="宋体" w:cs="宋体"/>
                <w:color w:val="auto"/>
                <w:sz w:val="21"/>
                <w:szCs w:val="21"/>
                <w:lang w:val="en-US" w:eastAsia="zh-CN"/>
              </w:rPr>
              <w:t xml:space="preserve">     100%</w:t>
            </w:r>
          </w:p>
          <w:p>
            <w:pPr>
              <w:rPr>
                <w:rFonts w:hint="eastAsia" w:ascii="宋体" w:hAnsi="宋体" w:eastAsia="宋体" w:cs="宋体"/>
                <w:color w:val="auto"/>
                <w:spacing w:val="10"/>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产品一次交验合格率100%</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lang w:val="en-US" w:eastAsia="zh-CN"/>
              </w:rPr>
              <w:t xml:space="preserve">     100%</w:t>
            </w:r>
          </w:p>
          <w:p>
            <w:pPr>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lang w:val="en-US" w:eastAsia="zh-CN"/>
              </w:rPr>
              <w:t>3）</w:t>
            </w:r>
            <w:r>
              <w:rPr>
                <w:rFonts w:hint="eastAsia" w:ascii="宋体" w:hAnsi="宋体" w:eastAsia="宋体" w:cs="宋体"/>
                <w:color w:val="auto"/>
                <w:spacing w:val="10"/>
                <w:sz w:val="21"/>
                <w:szCs w:val="21"/>
              </w:rPr>
              <w:t>顾客满意度不低于90%；</w:t>
            </w:r>
            <w:r>
              <w:rPr>
                <w:rFonts w:hint="eastAsia" w:ascii="宋体" w:hAnsi="宋体" w:eastAsia="宋体" w:cs="宋体"/>
                <w:color w:val="auto"/>
                <w:sz w:val="21"/>
                <w:szCs w:val="21"/>
                <w:lang w:val="en-US" w:eastAsia="zh-CN"/>
              </w:rPr>
              <w:t xml:space="preserve">     92%</w:t>
            </w:r>
          </w:p>
          <w:p>
            <w:pPr>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r>
              <w:rPr>
                <w:rFonts w:hint="eastAsia" w:ascii="宋体" w:hAnsi="宋体" w:eastAsia="宋体" w:cs="宋体"/>
                <w:color w:val="auto"/>
                <w:spacing w:val="10"/>
                <w:sz w:val="21"/>
                <w:szCs w:val="21"/>
              </w:rPr>
              <w:t>顾客投诉及时处理率100%</w:t>
            </w:r>
            <w:r>
              <w:rPr>
                <w:rFonts w:hint="eastAsia" w:ascii="宋体" w:hAnsi="宋体" w:eastAsia="宋体" w:cs="宋体"/>
                <w:color w:val="auto"/>
                <w:spacing w:val="10"/>
                <w:sz w:val="21"/>
                <w:szCs w:val="21"/>
                <w:lang w:eastAsia="zh-CN"/>
              </w:rPr>
              <w:t>；</w:t>
            </w:r>
            <w:r>
              <w:rPr>
                <w:rFonts w:hint="eastAsia" w:ascii="宋体" w:hAnsi="宋体" w:eastAsia="宋体" w:cs="宋体"/>
                <w:color w:val="auto"/>
                <w:sz w:val="21"/>
                <w:szCs w:val="21"/>
                <w:lang w:val="en-US" w:eastAsia="zh-CN"/>
              </w:rPr>
              <w:t xml:space="preserve">     100%</w:t>
            </w:r>
          </w:p>
          <w:p>
            <w:pPr>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r>
              <w:rPr>
                <w:rFonts w:hint="eastAsia" w:ascii="宋体" w:hAnsi="宋体" w:eastAsia="宋体" w:cs="宋体"/>
                <w:color w:val="auto"/>
                <w:kern w:val="0"/>
                <w:sz w:val="21"/>
                <w:szCs w:val="21"/>
              </w:rPr>
              <w:t>噪声、污水排放符合所在地标准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达成</w:t>
            </w:r>
          </w:p>
          <w:p>
            <w:pPr>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r>
              <w:rPr>
                <w:rFonts w:hint="eastAsia" w:ascii="宋体" w:hAnsi="宋体" w:eastAsia="宋体" w:cs="宋体"/>
                <w:color w:val="auto"/>
                <w:kern w:val="0"/>
                <w:sz w:val="21"/>
                <w:szCs w:val="21"/>
              </w:rPr>
              <w:t>避免危险有害废弃物违规排放，按规定</w:t>
            </w:r>
            <w:r>
              <w:rPr>
                <w:rFonts w:hint="eastAsia" w:ascii="宋体" w:hAnsi="宋体" w:eastAsia="宋体" w:cs="宋体"/>
                <w:bCs/>
                <w:color w:val="auto"/>
                <w:sz w:val="21"/>
                <w:szCs w:val="21"/>
              </w:rPr>
              <w:t>对其分类处理率</w:t>
            </w:r>
            <w:r>
              <w:rPr>
                <w:rFonts w:hint="eastAsia" w:ascii="宋体" w:hAnsi="宋体" w:eastAsia="宋体" w:cs="宋体"/>
                <w:color w:val="auto"/>
                <w:kern w:val="0"/>
                <w:sz w:val="21"/>
                <w:szCs w:val="21"/>
              </w:rPr>
              <w:t>100%；</w:t>
            </w:r>
            <w:r>
              <w:rPr>
                <w:rFonts w:hint="eastAsia" w:ascii="宋体" w:hAnsi="宋体" w:eastAsia="宋体" w:cs="宋体"/>
                <w:color w:val="auto"/>
                <w:sz w:val="21"/>
                <w:szCs w:val="21"/>
                <w:lang w:val="en-US" w:eastAsia="zh-CN"/>
              </w:rPr>
              <w:t xml:space="preserve">    100%</w:t>
            </w:r>
          </w:p>
          <w:p>
            <w:pPr>
              <w:rPr>
                <w:rFonts w:hint="eastAsia" w:ascii="宋体" w:hAnsi="宋体" w:eastAsia="宋体" w:cs="宋体"/>
                <w:b/>
                <w:color w:val="auto"/>
                <w:sz w:val="21"/>
                <w:szCs w:val="21"/>
                <w:lang w:val="en-US"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适用环境及职业健康安全法规和其他要求符合率100%；</w:t>
            </w:r>
            <w:r>
              <w:rPr>
                <w:rFonts w:hint="eastAsia" w:ascii="宋体" w:hAnsi="宋体" w:eastAsia="宋体" w:cs="宋体"/>
                <w:color w:val="auto"/>
                <w:sz w:val="21"/>
                <w:szCs w:val="21"/>
                <w:lang w:val="en-US" w:eastAsia="zh-CN"/>
              </w:rPr>
              <w:t xml:space="preserve">    100%</w:t>
            </w:r>
          </w:p>
          <w:p>
            <w:pP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重大环境污染事故为零；</w:t>
            </w:r>
            <w:r>
              <w:rPr>
                <w:rFonts w:hint="eastAsia" w:ascii="宋体" w:hAnsi="宋体" w:eastAsia="宋体" w:cs="宋体"/>
                <w:color w:val="auto"/>
                <w:sz w:val="21"/>
                <w:szCs w:val="21"/>
                <w:lang w:val="en-US" w:eastAsia="zh-CN"/>
              </w:rPr>
              <w:t xml:space="preserve">    0</w:t>
            </w:r>
          </w:p>
          <w:p>
            <w:pP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确保相关方在环保及职业健康安全方面零投诉；</w:t>
            </w:r>
            <w:r>
              <w:rPr>
                <w:rFonts w:hint="eastAsia" w:ascii="宋体" w:hAnsi="宋体" w:eastAsia="宋体" w:cs="宋体"/>
                <w:color w:val="auto"/>
                <w:sz w:val="21"/>
                <w:szCs w:val="21"/>
                <w:lang w:val="en-US" w:eastAsia="zh-CN"/>
              </w:rPr>
              <w:t xml:space="preserve">    100%</w:t>
            </w:r>
          </w:p>
          <w:p>
            <w:pP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年度火灾和重大安全事故（死亡、重伤）发生率为零；</w:t>
            </w:r>
            <w:r>
              <w:rPr>
                <w:rFonts w:hint="eastAsia" w:ascii="宋体" w:hAnsi="宋体" w:eastAsia="宋体" w:cs="宋体"/>
                <w:color w:val="auto"/>
                <w:sz w:val="21"/>
                <w:szCs w:val="21"/>
                <w:lang w:val="en-US" w:eastAsia="zh-CN"/>
              </w:rPr>
              <w:t xml:space="preserve">    100%</w:t>
            </w:r>
          </w:p>
          <w:p>
            <w:pPr>
              <w:spacing w:line="360" w:lineRule="auto"/>
              <w:rPr>
                <w:rFonts w:hint="eastAsia" w:ascii="宋体" w:hAnsi="宋体" w:cs="宋体"/>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度</w:t>
            </w:r>
            <w:r>
              <w:rPr>
                <w:rFonts w:hint="eastAsia" w:ascii="宋体" w:hAnsi="宋体" w:eastAsia="宋体" w:cs="宋体"/>
                <w:color w:val="auto"/>
                <w:kern w:val="0"/>
                <w:sz w:val="21"/>
                <w:szCs w:val="21"/>
              </w:rPr>
              <w:t>轻伤事故发生率控制</w:t>
            </w:r>
            <w:r>
              <w:rPr>
                <w:rFonts w:hint="eastAsia" w:ascii="宋体" w:hAnsi="宋体" w:eastAsia="宋体" w:cs="宋体"/>
                <w:color w:val="auto"/>
                <w:kern w:val="0"/>
                <w:sz w:val="21"/>
                <w:szCs w:val="21"/>
                <w:lang w:val="en-US" w:eastAsia="zh-CN"/>
              </w:rPr>
              <w:t>低于1</w:t>
            </w:r>
            <w:r>
              <w:rPr>
                <w:rFonts w:hint="eastAsia" w:ascii="宋体" w:hAnsi="宋体" w:eastAsia="宋体" w:cs="宋体"/>
                <w:color w:val="auto"/>
                <w:kern w:val="0"/>
                <w:sz w:val="21"/>
                <w:szCs w:val="21"/>
              </w:rPr>
              <w:t>起</w:t>
            </w:r>
            <w:r>
              <w:rPr>
                <w:rFonts w:hint="eastAsia" w:ascii="宋体" w:hAnsi="宋体" w:eastAsia="宋体" w:cs="宋体"/>
                <w:bCs/>
                <w:color w:val="auto"/>
                <w:sz w:val="21"/>
                <w:szCs w:val="21"/>
              </w:rPr>
              <w:t>。</w:t>
            </w:r>
            <w:r>
              <w:rPr>
                <w:rFonts w:hint="eastAsia" w:ascii="宋体" w:hAnsi="宋体" w:eastAsia="宋体" w:cs="宋体"/>
                <w:color w:val="auto"/>
                <w:sz w:val="21"/>
                <w:szCs w:val="21"/>
                <w:lang w:val="en-US" w:eastAsia="zh-CN"/>
              </w:rPr>
              <w:t xml:space="preserve">    100%</w:t>
            </w:r>
          </w:p>
          <w:p>
            <w:pPr>
              <w:spacing w:line="360" w:lineRule="auto"/>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2023年1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日统计结果，目标均已完成。</w:t>
            </w:r>
          </w:p>
        </w:tc>
        <w:tc>
          <w:tcPr>
            <w:tcW w:w="130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47" w:type="dxa"/>
          </w:tcPr>
          <w:p>
            <w:pPr>
              <w:spacing w:line="360" w:lineRule="auto"/>
              <w:rPr>
                <w:szCs w:val="21"/>
                <w:u w:val="none"/>
              </w:rPr>
            </w:pPr>
            <w:r>
              <w:rPr>
                <w:rFonts w:hint="eastAsia"/>
                <w:szCs w:val="21"/>
                <w:u w:val="none"/>
              </w:rPr>
              <w:t>运行策划和控制</w:t>
            </w:r>
          </w:p>
          <w:p>
            <w:pPr>
              <w:spacing w:line="360" w:lineRule="auto"/>
              <w:rPr>
                <w:b/>
                <w:szCs w:val="21"/>
                <w:u w:val="none"/>
              </w:rPr>
            </w:pPr>
          </w:p>
        </w:tc>
        <w:tc>
          <w:tcPr>
            <w:tcW w:w="1187" w:type="dxa"/>
          </w:tcPr>
          <w:p>
            <w:pPr>
              <w:spacing w:line="360" w:lineRule="auto"/>
              <w:rPr>
                <w:b/>
                <w:szCs w:val="21"/>
                <w:u w:val="none"/>
              </w:rPr>
            </w:pPr>
            <w:r>
              <w:rPr>
                <w:rFonts w:hint="eastAsia"/>
                <w:szCs w:val="21"/>
                <w:u w:val="none"/>
              </w:rPr>
              <w:t>E</w:t>
            </w:r>
            <w:r>
              <w:rPr>
                <w:szCs w:val="21"/>
                <w:u w:val="none"/>
              </w:rPr>
              <w:t>O</w:t>
            </w:r>
            <w:r>
              <w:rPr>
                <w:rFonts w:hint="eastAsia"/>
                <w:szCs w:val="21"/>
                <w:u w:val="none"/>
              </w:rPr>
              <w:t>8.1</w:t>
            </w:r>
          </w:p>
        </w:tc>
        <w:tc>
          <w:tcPr>
            <w:tcW w:w="10373" w:type="dxa"/>
            <w:vAlign w:val="center"/>
          </w:tcPr>
          <w:p>
            <w:pPr>
              <w:spacing w:line="360" w:lineRule="auto"/>
              <w:ind w:firstLine="420" w:firstLineChars="200"/>
              <w:rPr>
                <w:rFonts w:hint="eastAsia"/>
              </w:rPr>
            </w:pPr>
            <w:r>
              <w:rPr>
                <w:rFonts w:hint="eastAsia"/>
              </w:rPr>
              <w:t>编制与环境、安全管理体系运行控制有关的文件有《环境因素识别与评价管理程序》、《危险源辨识与风险评价控制措施管理程序》、《相关方控制程序》等。</w:t>
            </w:r>
          </w:p>
          <w:p>
            <w:pPr>
              <w:spacing w:line="360" w:lineRule="auto"/>
              <w:ind w:firstLine="420" w:firstLineChars="200"/>
              <w:rPr>
                <w:rFonts w:hint="eastAsia"/>
              </w:rPr>
            </w:pPr>
            <w:r>
              <w:rPr>
                <w:rFonts w:hint="eastAsia"/>
              </w:rPr>
              <w:t>根据过程的运行准则，组织实施资源能源的消耗控制火灾预防、职业健康安全事故防范等过程的控制，避免和减少了环境职业健康安全的损失。</w:t>
            </w:r>
          </w:p>
          <w:p>
            <w:pPr>
              <w:spacing w:line="360" w:lineRule="auto"/>
              <w:ind w:firstLine="420" w:firstLineChars="200"/>
              <w:rPr>
                <w:rFonts w:hint="eastAsia"/>
              </w:rPr>
            </w:pPr>
            <w:r>
              <w:rPr>
                <w:rFonts w:hint="eastAsia"/>
              </w:rPr>
              <w:t>消防设施检查、节能降耗运行检查、火灾预防运行检查、安全环境检查等关键运行控制信息的证据都以记录或文件的方式保留。</w:t>
            </w:r>
          </w:p>
          <w:p>
            <w:pPr>
              <w:spacing w:line="360" w:lineRule="auto"/>
              <w:ind w:firstLine="420" w:firstLineChars="200"/>
            </w:pPr>
            <w:r>
              <w:rPr>
                <w:rFonts w:hint="eastAsia"/>
              </w:rPr>
              <w:t>1、废水管控</w:t>
            </w:r>
            <w:r>
              <w:rPr>
                <w:rFonts w:hint="eastAsia"/>
                <w:lang w:eastAsia="zh-CN"/>
              </w:rPr>
              <w:t>：</w:t>
            </w:r>
            <w:r>
              <w:rPr>
                <w:rFonts w:hint="eastAsia"/>
              </w:rPr>
              <w:t>主要生活废水排入政府污水管网统一处理。</w:t>
            </w:r>
          </w:p>
          <w:p>
            <w:pPr>
              <w:spacing w:line="360" w:lineRule="auto"/>
              <w:ind w:firstLine="420" w:firstLineChars="200"/>
            </w:pPr>
            <w:r>
              <w:rPr>
                <w:rFonts w:hint="eastAsia"/>
              </w:rPr>
              <w:t>2、固废管控</w:t>
            </w:r>
            <w:r>
              <w:rPr>
                <w:rFonts w:hint="eastAsia"/>
                <w:lang w:eastAsia="zh-CN"/>
              </w:rPr>
              <w:t>：</w:t>
            </w:r>
            <w:r>
              <w:rPr>
                <w:rFonts w:hint="eastAsia"/>
              </w:rPr>
              <w:t>生活垃圾在办公区域集中收集后，由物业管理交环卫部门统一定期清运；回收固废处理（包括危险固废如墨盒、硒鼓等）作好分类，标识交供应商回收。</w:t>
            </w:r>
          </w:p>
          <w:p>
            <w:pPr>
              <w:pStyle w:val="16"/>
              <w:numPr>
                <w:ilvl w:val="0"/>
                <w:numId w:val="1"/>
              </w:numPr>
              <w:spacing w:line="360" w:lineRule="auto"/>
              <w:ind w:firstLineChars="0"/>
            </w:pPr>
            <w:r>
              <w:rPr>
                <w:rFonts w:hint="eastAsia"/>
              </w:rPr>
              <w:t>能源资源管控</w:t>
            </w:r>
            <w:r>
              <w:rPr>
                <w:rFonts w:hint="eastAsia"/>
                <w:lang w:eastAsia="zh-CN"/>
              </w:rPr>
              <w:t>：</w:t>
            </w:r>
            <w:r>
              <w:rPr>
                <w:rFonts w:hint="eastAsia"/>
              </w:rPr>
              <w:t>负责人讲，公司资源、能源节约有相关规定措施，如：加强宣传、主管检查督导。</w:t>
            </w:r>
          </w:p>
          <w:p>
            <w:pPr>
              <w:pStyle w:val="16"/>
              <w:numPr>
                <w:ilvl w:val="0"/>
                <w:numId w:val="0"/>
              </w:numPr>
              <w:spacing w:line="360" w:lineRule="auto"/>
            </w:pPr>
            <w:r>
              <w:rPr>
                <w:rFonts w:hint="eastAsia"/>
              </w:rPr>
              <w:t>现场有水、电等使用的场所，均有节约资源、能源的宣导标语。未发现资源、能源过度消耗或浪费的情形。公司制定了节约资源、能源目标，除日常监督落实外，每月由</w:t>
            </w:r>
            <w:r>
              <w:rPr>
                <w:rFonts w:hint="eastAsia"/>
                <w:lang w:eastAsia="zh-CN"/>
              </w:rPr>
              <w:t>供销部</w:t>
            </w:r>
            <w:r>
              <w:rPr>
                <w:rFonts w:hint="eastAsia"/>
              </w:rPr>
              <w:t>集中统计跟进。统计内容包括：水，电消耗费用，纸张、灭火器材等费用。记录显示：基本达成目标。</w:t>
            </w:r>
          </w:p>
          <w:p>
            <w:pPr>
              <w:spacing w:line="360" w:lineRule="auto"/>
              <w:ind w:firstLine="420" w:firstLineChars="200"/>
              <w:rPr>
                <w:rFonts w:hint="eastAsia"/>
                <w:lang w:eastAsia="zh-CN"/>
              </w:rPr>
            </w:pPr>
            <w:r>
              <w:t>4</w:t>
            </w:r>
            <w:r>
              <w:rPr>
                <w:rFonts w:hint="eastAsia"/>
              </w:rPr>
              <w:t>、潜在火灾管控</w:t>
            </w:r>
            <w:r>
              <w:rPr>
                <w:rFonts w:hint="eastAsia"/>
                <w:lang w:eastAsia="zh-CN"/>
              </w:rPr>
              <w:t>：</w:t>
            </w:r>
            <w:r>
              <w:rPr>
                <w:rFonts w:hint="eastAsia"/>
              </w:rPr>
              <w:t>公司</w:t>
            </w:r>
            <w:r>
              <w:rPr>
                <w:rFonts w:hint="eastAsia"/>
                <w:lang w:eastAsia="zh-CN"/>
              </w:rPr>
              <w:t>供销部</w:t>
            </w:r>
            <w:r>
              <w:rPr>
                <w:rFonts w:hint="eastAsia"/>
              </w:rPr>
              <w:t>现场配有灭火器和应急预案</w:t>
            </w:r>
            <w:r>
              <w:rPr>
                <w:rFonts w:hint="eastAsia"/>
                <w:lang w:eastAsia="zh-CN"/>
              </w:rPr>
              <w:t>；</w:t>
            </w:r>
            <w:r>
              <w:rPr>
                <w:rFonts w:hint="eastAsia"/>
              </w:rPr>
              <w:t>组织相关人员进行培训；日常的检查；制定火灾应急预案</w:t>
            </w:r>
            <w:r>
              <w:rPr>
                <w:rFonts w:hint="eastAsia"/>
                <w:lang w:eastAsia="zh-CN"/>
              </w:rPr>
              <w:t>。</w:t>
            </w:r>
          </w:p>
          <w:p>
            <w:pPr>
              <w:spacing w:line="360" w:lineRule="auto"/>
              <w:ind w:firstLine="420" w:firstLineChars="200"/>
              <w:rPr>
                <w:rFonts w:hint="eastAsia"/>
                <w:szCs w:val="21"/>
                <w:u w:val="none"/>
              </w:rPr>
            </w:pPr>
            <w:r>
              <w:rPr>
                <w:rFonts w:hint="eastAsia" w:ascii="宋体" w:hAnsi="宋体" w:cs="宋体"/>
                <w:szCs w:val="21"/>
                <w:lang w:val="en-US" w:eastAsia="zh-CN"/>
              </w:rPr>
              <w:t>5、</w:t>
            </w:r>
            <w:r>
              <w:rPr>
                <w:rFonts w:hint="eastAsia" w:ascii="宋体" w:hAnsi="宋体" w:cs="宋体"/>
                <w:szCs w:val="21"/>
              </w:rPr>
              <w:t>对</w:t>
            </w:r>
            <w:r>
              <w:rPr>
                <w:rFonts w:hint="eastAsia" w:ascii="Times New Roman" w:hAnsi="Times New Roman" w:eastAsia="宋体" w:cs="Times New Roman"/>
                <w:szCs w:val="22"/>
              </w:rPr>
              <w:t>相关方施加影响</w:t>
            </w:r>
            <w:r>
              <w:rPr>
                <w:rFonts w:hint="eastAsia" w:cs="Times New Roman"/>
                <w:szCs w:val="22"/>
                <w:lang w:eastAsia="zh-CN"/>
              </w:rPr>
              <w:t>：</w:t>
            </w:r>
            <w:r>
              <w:rPr>
                <w:rFonts w:hint="eastAsia" w:ascii="Times New Roman" w:hAnsi="Times New Roman" w:eastAsia="宋体" w:cs="Times New Roman"/>
                <w:szCs w:val="22"/>
              </w:rPr>
              <w:t>组织对进入场所内的供方送货员、访客视情况由安保人员或受访人提醒、签定安全协议等方式，告知相关遵守相应的运行准则，以防止外来人员受到人身伤害或职业健康安危害。</w:t>
            </w:r>
          </w:p>
        </w:tc>
        <w:tc>
          <w:tcPr>
            <w:tcW w:w="130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47" w:type="dxa"/>
          </w:tcPr>
          <w:p>
            <w:pPr>
              <w:spacing w:line="360" w:lineRule="auto"/>
              <w:rPr>
                <w:b/>
                <w:szCs w:val="21"/>
                <w:u w:val="none"/>
              </w:rPr>
            </w:pPr>
            <w:r>
              <w:rPr>
                <w:rFonts w:hint="eastAsia" w:ascii="宋体" w:hAnsi="宋体" w:cs="宋体"/>
                <w:szCs w:val="21"/>
                <w:u w:val="none"/>
              </w:rPr>
              <w:t>应急响应和准备</w:t>
            </w:r>
          </w:p>
        </w:tc>
        <w:tc>
          <w:tcPr>
            <w:tcW w:w="1187" w:type="dxa"/>
          </w:tcPr>
          <w:p>
            <w:pPr>
              <w:spacing w:line="360" w:lineRule="auto"/>
              <w:rPr>
                <w:szCs w:val="21"/>
                <w:u w:val="none"/>
              </w:rPr>
            </w:pPr>
            <w:r>
              <w:rPr>
                <w:rFonts w:hint="eastAsia"/>
                <w:szCs w:val="21"/>
                <w:u w:val="none"/>
              </w:rPr>
              <w:t>E</w:t>
            </w:r>
            <w:r>
              <w:rPr>
                <w:szCs w:val="21"/>
                <w:u w:val="none"/>
              </w:rPr>
              <w:t>O</w:t>
            </w:r>
            <w:r>
              <w:rPr>
                <w:rFonts w:hint="eastAsia"/>
                <w:szCs w:val="21"/>
                <w:u w:val="none"/>
              </w:rPr>
              <w:t>8.2</w:t>
            </w:r>
          </w:p>
        </w:tc>
        <w:tc>
          <w:tcPr>
            <w:tcW w:w="10373" w:type="dxa"/>
            <w:vAlign w:val="center"/>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编制了《应急准备和响应管理程序》，查看内容基本符合要求。</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策划了应急预案包括触电、火灾等应急预案。</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查应急预案评估报告，通过以上评估，公司应急预案的制定基本合理。</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公司进行了触电事故应急</w:t>
            </w:r>
            <w:r>
              <w:rPr>
                <w:rFonts w:hint="eastAsia" w:ascii="Times New Roman" w:hAnsi="Times New Roman" w:eastAsia="宋体" w:cs="Times New Roman"/>
                <w:szCs w:val="22"/>
                <w:lang w:val="en-US" w:eastAsia="zh-CN"/>
              </w:rPr>
              <w:t>演练</w:t>
            </w:r>
            <w:r>
              <w:rPr>
                <w:rFonts w:hint="eastAsia" w:ascii="Times New Roman" w:hAnsi="Times New Roman" w:eastAsia="宋体" w:cs="Times New Roman"/>
                <w:szCs w:val="22"/>
              </w:rPr>
              <w:t>，查应急演练记录。</w:t>
            </w:r>
          </w:p>
          <w:p>
            <w:pPr>
              <w:spacing w:line="360" w:lineRule="auto"/>
              <w:ind w:firstLine="420" w:firstLineChars="200"/>
            </w:pPr>
            <w:r>
              <w:rPr>
                <w:rFonts w:hint="eastAsia" w:ascii="Times New Roman" w:hAnsi="Times New Roman" w:eastAsia="宋体" w:cs="Times New Roman"/>
                <w:szCs w:val="22"/>
              </w:rPr>
              <w:t>查消防灭火演练，演练时间2022年12月7日，</w:t>
            </w:r>
            <w:r>
              <w:rPr>
                <w:rFonts w:hint="eastAsia"/>
                <w:szCs w:val="21"/>
              </w:rPr>
              <w:t>安全小组总指挥：</w:t>
            </w:r>
            <w:r>
              <w:rPr>
                <w:rFonts w:hint="eastAsia"/>
                <w:szCs w:val="21"/>
                <w:lang w:eastAsia="zh-CN"/>
              </w:rPr>
              <w:t>潘少军</w:t>
            </w:r>
            <w:r>
              <w:rPr>
                <w:rFonts w:hint="eastAsia" w:ascii="Times New Roman" w:hAnsi="Times New Roman" w:eastAsia="宋体" w:cs="Times New Roman"/>
                <w:szCs w:val="22"/>
              </w:rPr>
              <w:t>对演练过程进行了描述，并对预案的有效性进</w:t>
            </w:r>
            <w:r>
              <w:rPr>
                <w:rFonts w:hint="eastAsia"/>
              </w:rPr>
              <w:t>行了评价。目前未发生火灾、人身伤害等事故。</w:t>
            </w:r>
            <w:bookmarkStart w:id="0" w:name="_GoBack"/>
            <w:bookmarkEnd w:id="0"/>
          </w:p>
        </w:tc>
        <w:tc>
          <w:tcPr>
            <w:tcW w:w="1302" w:type="dxa"/>
          </w:tcPr>
          <w:p>
            <w:pPr>
              <w:spacing w:line="360" w:lineRule="auto"/>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47" w:type="dxa"/>
            <w:vAlign w:val="center"/>
          </w:tcPr>
          <w:p>
            <w:pPr>
              <w:spacing w:line="360" w:lineRule="auto"/>
              <w:jc w:val="left"/>
              <w:rPr>
                <w:rFonts w:hint="eastAsia" w:ascii="宋体" w:hAnsi="宋体" w:cs="宋体"/>
                <w:szCs w:val="21"/>
                <w:u w:val="none"/>
              </w:rPr>
            </w:pPr>
            <w:r>
              <w:rPr>
                <w:rFonts w:hint="eastAsia" w:ascii="宋体" w:hAnsi="宋体" w:cs="宋体"/>
                <w:color w:val="auto"/>
                <w:kern w:val="0"/>
                <w:sz w:val="21"/>
                <w:szCs w:val="21"/>
                <w:lang w:val="en-US" w:eastAsia="zh-CN"/>
              </w:rPr>
              <w:t>顾客沟通</w:t>
            </w:r>
          </w:p>
        </w:tc>
        <w:tc>
          <w:tcPr>
            <w:tcW w:w="1187" w:type="dxa"/>
            <w:vAlign w:val="top"/>
          </w:tcPr>
          <w:p>
            <w:pPr>
              <w:spacing w:line="360" w:lineRule="auto"/>
              <w:rPr>
                <w:rFonts w:hint="eastAsia" w:ascii="楷体" w:hAnsi="楷体" w:eastAsia="楷体" w:cs="Arial"/>
                <w:sz w:val="24"/>
                <w:szCs w:val="24"/>
              </w:rPr>
            </w:pPr>
          </w:p>
          <w:p>
            <w:pPr>
              <w:spacing w:line="360" w:lineRule="auto"/>
              <w:rPr>
                <w:rFonts w:hint="eastAsia"/>
                <w:szCs w:val="21"/>
                <w:u w:val="none"/>
              </w:rPr>
            </w:pPr>
            <w:r>
              <w:rPr>
                <w:rFonts w:hint="eastAsia" w:ascii="楷体" w:hAnsi="楷体" w:eastAsia="楷体" w:cs="Arial"/>
                <w:sz w:val="24"/>
                <w:szCs w:val="24"/>
              </w:rPr>
              <w:t>Q8.2.1</w:t>
            </w:r>
          </w:p>
        </w:tc>
        <w:tc>
          <w:tcPr>
            <w:tcW w:w="10373" w:type="dxa"/>
            <w:vAlign w:val="top"/>
          </w:tcPr>
          <w:p>
            <w:pPr>
              <w:spacing w:line="360" w:lineRule="auto"/>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供销部</w:t>
            </w:r>
            <w:r>
              <w:rPr>
                <w:rFonts w:hint="eastAsia" w:ascii="宋体" w:hAnsi="宋体" w:eastAsia="宋体" w:cs="宋体"/>
                <w:color w:val="auto"/>
                <w:kern w:val="0"/>
                <w:sz w:val="21"/>
                <w:szCs w:val="21"/>
              </w:rPr>
              <w:t>负责人介绍沟通方式主要是电话、传真、资料传递、公司网站、</w:t>
            </w:r>
            <w:r>
              <w:rPr>
                <w:rFonts w:hint="eastAsia" w:ascii="宋体" w:hAnsi="宋体" w:eastAsia="宋体" w:cs="宋体"/>
                <w:color w:val="auto"/>
                <w:kern w:val="0"/>
                <w:sz w:val="21"/>
                <w:szCs w:val="21"/>
                <w:lang w:val="en-US" w:eastAsia="zh-CN"/>
              </w:rPr>
              <w:t>宣传页</w:t>
            </w:r>
            <w:r>
              <w:rPr>
                <w:rFonts w:hint="eastAsia" w:ascii="宋体" w:hAnsi="宋体" w:eastAsia="宋体" w:cs="宋体"/>
                <w:color w:val="auto"/>
                <w:kern w:val="0"/>
                <w:sz w:val="21"/>
                <w:szCs w:val="21"/>
              </w:rPr>
              <w:t>等形式宣传本公司有关产品及公司的有关信誉等。</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针对合同洽谈、签订、履行过程中的问题，及时电话联系，明确各自的要求，执行合同。</w:t>
            </w:r>
          </w:p>
          <w:p>
            <w:pPr>
              <w:spacing w:line="360" w:lineRule="auto"/>
              <w:jc w:val="left"/>
              <w:rPr>
                <w:rFonts w:hint="eastAsia" w:ascii="Times New Roman" w:hAnsi="Times New Roman" w:eastAsia="宋体" w:cs="Times New Roman"/>
                <w:szCs w:val="22"/>
              </w:rPr>
            </w:pPr>
            <w:r>
              <w:rPr>
                <w:rFonts w:hint="eastAsia" w:ascii="宋体" w:hAnsi="宋体" w:eastAsia="宋体" w:cs="宋体"/>
                <w:color w:val="auto"/>
                <w:kern w:val="0"/>
                <w:sz w:val="21"/>
                <w:szCs w:val="21"/>
              </w:rPr>
              <w:t>目前沟通效果良好。</w:t>
            </w:r>
          </w:p>
        </w:tc>
        <w:tc>
          <w:tcPr>
            <w:tcW w:w="1302"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47" w:type="dxa"/>
            <w:vAlign w:val="center"/>
          </w:tcPr>
          <w:p>
            <w:pPr>
              <w:spacing w:line="360" w:lineRule="auto"/>
              <w:jc w:val="left"/>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与产品和服务有关要求的确认、与产品有关要求评审</w:t>
            </w:r>
          </w:p>
          <w:p>
            <w:pPr>
              <w:spacing w:line="360" w:lineRule="auto"/>
              <w:jc w:val="left"/>
              <w:rPr>
                <w:rFonts w:hint="eastAsia" w:ascii="宋体" w:hAnsi="宋体" w:cs="宋体"/>
                <w:color w:val="auto"/>
                <w:kern w:val="0"/>
                <w:sz w:val="21"/>
                <w:szCs w:val="21"/>
                <w:lang w:val="en-US" w:eastAsia="zh-CN"/>
              </w:rPr>
            </w:pPr>
          </w:p>
          <w:p>
            <w:pPr>
              <w:spacing w:line="360" w:lineRule="auto"/>
              <w:jc w:val="left"/>
              <w:rPr>
                <w:rFonts w:hint="eastAsia" w:ascii="宋体" w:hAnsi="宋体" w:cs="宋体"/>
                <w:szCs w:val="21"/>
                <w:u w:val="none"/>
              </w:rPr>
            </w:pPr>
            <w:r>
              <w:rPr>
                <w:rFonts w:hint="eastAsia" w:ascii="宋体" w:hAnsi="宋体" w:cs="宋体"/>
                <w:color w:val="auto"/>
                <w:kern w:val="0"/>
                <w:sz w:val="21"/>
                <w:szCs w:val="21"/>
                <w:lang w:val="en-US" w:eastAsia="zh-CN"/>
              </w:rPr>
              <w:t>与产品有关要求的更改</w:t>
            </w:r>
          </w:p>
        </w:tc>
        <w:tc>
          <w:tcPr>
            <w:tcW w:w="1187" w:type="dxa"/>
            <w:vAlign w:val="top"/>
          </w:tcPr>
          <w:p>
            <w:pPr>
              <w:spacing w:line="360" w:lineRule="auto"/>
              <w:rPr>
                <w:rFonts w:hint="eastAsia" w:ascii="楷体" w:hAnsi="楷体" w:eastAsia="楷体" w:cs="Arial"/>
                <w:sz w:val="24"/>
                <w:szCs w:val="24"/>
              </w:rPr>
            </w:pPr>
          </w:p>
          <w:p>
            <w:pPr>
              <w:pStyle w:val="2"/>
              <w:spacing w:line="360" w:lineRule="auto"/>
              <w:rPr>
                <w:rFonts w:hint="eastAsia" w:ascii="楷体" w:hAnsi="楷体" w:eastAsia="楷体" w:cs="Arial"/>
                <w:sz w:val="24"/>
                <w:szCs w:val="24"/>
              </w:rPr>
            </w:pPr>
          </w:p>
          <w:p>
            <w:pPr>
              <w:pStyle w:val="3"/>
              <w:spacing w:line="360" w:lineRule="auto"/>
              <w:rPr>
                <w:rFonts w:hint="eastAsia" w:ascii="楷体" w:hAnsi="楷体" w:eastAsia="楷体" w:cs="Arial"/>
                <w:sz w:val="24"/>
                <w:szCs w:val="24"/>
              </w:rPr>
            </w:pPr>
          </w:p>
          <w:p>
            <w:pPr>
              <w:pStyle w:val="3"/>
              <w:spacing w:line="360" w:lineRule="auto"/>
              <w:rPr>
                <w:rFonts w:hint="eastAsia" w:ascii="楷体" w:hAnsi="楷体" w:eastAsia="楷体" w:cs="Arial"/>
                <w:sz w:val="24"/>
                <w:szCs w:val="24"/>
              </w:rPr>
            </w:pPr>
          </w:p>
          <w:p>
            <w:pPr>
              <w:pStyle w:val="3"/>
              <w:spacing w:line="360" w:lineRule="auto"/>
              <w:rPr>
                <w:rFonts w:hint="eastAsia"/>
              </w:rPr>
            </w:pPr>
          </w:p>
          <w:p>
            <w:pPr>
              <w:spacing w:line="360" w:lineRule="auto"/>
              <w:rPr>
                <w:rFonts w:hint="eastAsia" w:ascii="楷体" w:hAnsi="楷体" w:eastAsia="楷体" w:cs="Arial"/>
                <w:sz w:val="24"/>
                <w:szCs w:val="24"/>
              </w:rPr>
            </w:pPr>
            <w:r>
              <w:rPr>
                <w:rFonts w:hint="eastAsia" w:ascii="楷体" w:hAnsi="楷体" w:eastAsia="楷体" w:cs="Arial"/>
                <w:sz w:val="24"/>
                <w:szCs w:val="24"/>
              </w:rPr>
              <w:t>Q8.2.2、 Q8.2.3</w:t>
            </w:r>
          </w:p>
          <w:p>
            <w:pPr>
              <w:spacing w:line="360" w:lineRule="auto"/>
              <w:rPr>
                <w:rFonts w:hint="eastAsia"/>
                <w:szCs w:val="21"/>
                <w:u w:val="none"/>
              </w:rPr>
            </w:pPr>
            <w:r>
              <w:rPr>
                <w:rFonts w:hint="eastAsia" w:ascii="楷体" w:hAnsi="楷体" w:eastAsia="楷体" w:cs="Arial"/>
                <w:sz w:val="24"/>
                <w:szCs w:val="24"/>
              </w:rPr>
              <w:t>Q8.2.4</w:t>
            </w:r>
            <w:r>
              <w:rPr>
                <w:rFonts w:ascii="楷体" w:hAnsi="楷体" w:eastAsia="楷体" w:cs="Arial"/>
                <w:sz w:val="24"/>
                <w:szCs w:val="24"/>
              </w:rPr>
              <w:t xml:space="preserve"> </w:t>
            </w:r>
          </w:p>
        </w:tc>
        <w:tc>
          <w:tcPr>
            <w:tcW w:w="10373" w:type="dxa"/>
            <w:vAlign w:val="center"/>
          </w:tcPr>
          <w:p>
            <w:pPr>
              <w:autoSpaceDE w:val="0"/>
              <w:autoSpaceDN w:val="0"/>
              <w:adjustRightInd w:val="0"/>
              <w:snapToGrid w:val="0"/>
              <w:spacing w:line="360" w:lineRule="auto"/>
              <w:ind w:right="-6" w:rightChars="-3"/>
              <w:rPr>
                <w:rFonts w:hint="eastAsia"/>
              </w:rPr>
            </w:pPr>
            <w:r>
              <w:rPr>
                <w:rFonts w:hint="eastAsia"/>
                <w:lang w:eastAsia="zh-CN"/>
              </w:rPr>
              <w:t>供销部</w:t>
            </w:r>
            <w:r>
              <w:rPr>
                <w:rFonts w:hint="eastAsia"/>
              </w:rPr>
              <w:t>经理介绍：通过招标会、市场调查、客户的走访、电话、传真了解市场的需求状态。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rPr>
            </w:pPr>
            <w:r>
              <w:rPr>
                <w:rFonts w:hint="eastAsia"/>
              </w:rPr>
              <w:t>主要业务以招标文件、订单、合同、电话、邮件、传真等形式确定与产品有关的要求，均已保存或进行相应的记录。对顾客的要求由</w:t>
            </w:r>
            <w:r>
              <w:rPr>
                <w:rFonts w:hint="eastAsia"/>
                <w:lang w:eastAsia="zh-CN"/>
              </w:rPr>
              <w:t>供销部</w:t>
            </w:r>
            <w:r>
              <w:rPr>
                <w:rFonts w:hint="eastAsia"/>
              </w:rPr>
              <w:t>内勤直接对顾客要求进行识别、确认，对于存在的问题直接提出和顾客进行交流沟通，在合同签订前在公司微信群内对合同的要求进行评审。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rFonts w:hint="default" w:eastAsia="宋体"/>
                <w:lang w:val="en-US" w:eastAsia="zh-CN"/>
              </w:rPr>
            </w:pPr>
            <w:r>
              <w:rPr>
                <w:rFonts w:hint="eastAsia"/>
                <w:lang w:val="en-US" w:eastAsia="zh-CN"/>
              </w:rPr>
              <w:t>潘少军</w:t>
            </w:r>
            <w:r>
              <w:rPr>
                <w:rFonts w:hint="eastAsia"/>
              </w:rPr>
              <w:t>经理介绍，企业收到客户需求后，</w:t>
            </w:r>
            <w:r>
              <w:rPr>
                <w:rFonts w:hint="eastAsia"/>
                <w:lang w:eastAsia="zh-CN"/>
              </w:rPr>
              <w:t>供销部</w:t>
            </w:r>
            <w:r>
              <w:rPr>
                <w:rFonts w:hint="eastAsia"/>
              </w:rPr>
              <w:t>门</w:t>
            </w:r>
            <w:r>
              <w:rPr>
                <w:rFonts w:hint="eastAsia"/>
                <w:lang w:val="en-US" w:eastAsia="zh-CN"/>
              </w:rPr>
              <w:t>销售</w:t>
            </w:r>
            <w:r>
              <w:rPr>
                <w:rFonts w:hint="eastAsia"/>
              </w:rPr>
              <w:t>人员</w:t>
            </w:r>
            <w:r>
              <w:rPr>
                <w:rFonts w:hint="eastAsia"/>
                <w:lang w:val="en-US" w:eastAsia="zh-CN"/>
              </w:rPr>
              <w:t>确认合同内容</w:t>
            </w:r>
            <w:r>
              <w:rPr>
                <w:rFonts w:hint="eastAsia"/>
                <w:lang w:eastAsia="zh-CN"/>
              </w:rPr>
              <w:t>，</w:t>
            </w:r>
            <w:r>
              <w:rPr>
                <w:rFonts w:hint="eastAsia"/>
              </w:rPr>
              <w:t>部门负责人和总经理予以评审，没有异议可以满足要求后才签订</w:t>
            </w:r>
            <w:r>
              <w:rPr>
                <w:rFonts w:hint="eastAsia"/>
                <w:lang w:val="en-US" w:eastAsia="zh-CN"/>
              </w:rPr>
              <w:t>服务</w:t>
            </w:r>
            <w:r>
              <w:rPr>
                <w:rFonts w:hint="eastAsia"/>
              </w:rPr>
              <w:t>合同，合同经总经理或其授权人签字并加盖企业公章视同经过合同评审，然后回传给客户作为可以满足要求的承诺，合同评审均是在合同回传给客户之前进行。</w:t>
            </w:r>
            <w:r>
              <w:rPr>
                <w:rFonts w:hint="eastAsia"/>
                <w:lang w:val="en-US" w:eastAsia="zh-CN"/>
              </w:rPr>
              <w:t>企业的顾客较为固定，2022-2023签订的合同顾客均为：西安洛科电子科技股份有限公司。</w:t>
            </w:r>
          </w:p>
          <w:p>
            <w:pPr>
              <w:pStyle w:val="3"/>
              <w:spacing w:line="360" w:lineRule="auto"/>
              <w:ind w:left="0" w:leftChars="0" w:firstLine="0" w:firstLineChars="0"/>
              <w:jc w:val="left"/>
              <w:rPr>
                <w:rFonts w:hint="default"/>
                <w:lang w:val="en-US" w:eastAsia="zh-CN"/>
              </w:rPr>
            </w:pPr>
            <w:r>
              <w:rPr>
                <w:rFonts w:hint="eastAsia"/>
                <w:lang w:val="en-US" w:eastAsia="zh-CN"/>
              </w:rPr>
              <w:t>抽1）合同编号:LCJJ22-043，2022年9月22日与西安洛科电子科技股份有限公司签订的《订货合同》；合同内容包含了：石油仪器、石油仪器配件及配套工具</w:t>
            </w:r>
            <w:r>
              <w:rPr>
                <w:rFonts w:hint="default"/>
                <w:lang w:val="en-US" w:eastAsia="zh-CN"/>
              </w:rPr>
              <w:drawing>
                <wp:inline distT="0" distB="0" distL="114300" distR="114300">
                  <wp:extent cx="6445885" cy="2440940"/>
                  <wp:effectExtent l="0" t="0" r="5715" b="10160"/>
                  <wp:docPr id="1" name="图片 1" descr="167901631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016319459"/>
                          <pic:cNvPicPr>
                            <a:picLocks noChangeAspect="1"/>
                          </pic:cNvPicPr>
                        </pic:nvPicPr>
                        <pic:blipFill>
                          <a:blip r:embed="rId6"/>
                          <a:stretch>
                            <a:fillRect/>
                          </a:stretch>
                        </pic:blipFill>
                        <pic:spPr>
                          <a:xfrm>
                            <a:off x="0" y="0"/>
                            <a:ext cx="6445885" cy="2440940"/>
                          </a:xfrm>
                          <a:prstGeom prst="rect">
                            <a:avLst/>
                          </a:prstGeom>
                        </pic:spPr>
                      </pic:pic>
                    </a:graphicData>
                  </a:graphic>
                </wp:inline>
              </w:drawing>
            </w:r>
          </w:p>
          <w:p>
            <w:pPr>
              <w:autoSpaceDE w:val="0"/>
              <w:autoSpaceDN w:val="0"/>
              <w:adjustRightInd w:val="0"/>
              <w:snapToGrid w:val="0"/>
              <w:spacing w:line="360" w:lineRule="auto"/>
              <w:ind w:right="-6" w:rightChars="-3"/>
              <w:rPr>
                <w:rFonts w:hint="eastAsia" w:ascii="宋体" w:hAnsi="宋体" w:cs="Arial"/>
                <w:szCs w:val="21"/>
              </w:rPr>
            </w:pPr>
            <w:r>
              <w:rPr>
                <w:rFonts w:hint="eastAsia"/>
                <w:lang w:val="en-US" w:eastAsia="zh-CN"/>
              </w:rPr>
              <w:t>经评审，</w:t>
            </w:r>
            <w:r>
              <w:rPr>
                <w:rFonts w:hint="eastAsia" w:ascii="宋体" w:hAnsi="宋体" w:cs="Arial"/>
                <w:szCs w:val="21"/>
                <w:lang w:val="en-US" w:eastAsia="zh-CN"/>
              </w:rPr>
              <w:t>供销</w:t>
            </w:r>
            <w:r>
              <w:rPr>
                <w:rFonts w:hint="eastAsia" w:ascii="宋体" w:hAnsi="宋体" w:cs="Arial"/>
                <w:szCs w:val="21"/>
              </w:rPr>
              <w:t>部：潘少军；</w:t>
            </w:r>
            <w:r>
              <w:rPr>
                <w:rFonts w:hint="eastAsia" w:ascii="宋体" w:hAnsi="宋体" w:cs="Arial"/>
                <w:szCs w:val="21"/>
                <w:lang w:val="en-US" w:eastAsia="zh-CN"/>
              </w:rPr>
              <w:t>行政</w:t>
            </w:r>
            <w:r>
              <w:rPr>
                <w:rFonts w:hint="eastAsia" w:ascii="宋体" w:hAnsi="宋体" w:cs="Arial"/>
                <w:szCs w:val="21"/>
              </w:rPr>
              <w:t>部；马媛媛；技术部：陈治鹏，于2022年</w:t>
            </w:r>
            <w:r>
              <w:rPr>
                <w:rFonts w:hint="eastAsia" w:ascii="宋体" w:hAnsi="宋体" w:cs="Arial"/>
                <w:szCs w:val="21"/>
                <w:lang w:val="en-US" w:eastAsia="zh-CN"/>
              </w:rPr>
              <w:t>9</w:t>
            </w:r>
            <w:r>
              <w:rPr>
                <w:rFonts w:hint="eastAsia" w:ascii="宋体" w:hAnsi="宋体" w:cs="Arial"/>
                <w:szCs w:val="21"/>
              </w:rPr>
              <w:t>月</w:t>
            </w:r>
            <w:r>
              <w:rPr>
                <w:rFonts w:hint="eastAsia" w:ascii="宋体" w:hAnsi="宋体" w:cs="Arial"/>
                <w:szCs w:val="21"/>
                <w:lang w:val="en-US" w:eastAsia="zh-CN"/>
              </w:rPr>
              <w:t>21</w:t>
            </w:r>
            <w:r>
              <w:rPr>
                <w:rFonts w:hint="eastAsia" w:ascii="宋体" w:hAnsi="宋体" w:cs="Arial"/>
                <w:szCs w:val="21"/>
              </w:rPr>
              <w:t>日评审后，经总经理：韩英竹批准，签订合同。</w:t>
            </w:r>
          </w:p>
          <w:p>
            <w:pPr>
              <w:autoSpaceDE w:val="0"/>
              <w:autoSpaceDN w:val="0"/>
              <w:adjustRightInd w:val="0"/>
              <w:snapToGrid w:val="0"/>
              <w:spacing w:line="360" w:lineRule="auto"/>
              <w:ind w:right="-6" w:rightChars="-3"/>
              <w:rPr>
                <w:rFonts w:hint="default" w:eastAsia="宋体"/>
                <w:lang w:val="en-US" w:eastAsia="zh-CN"/>
              </w:rPr>
            </w:pPr>
            <w:r>
              <w:rPr>
                <w:rFonts w:hint="eastAsia" w:ascii="宋体" w:hAnsi="宋体" w:cs="Arial"/>
                <w:szCs w:val="21"/>
                <w:lang w:val="en-US" w:eastAsia="zh-CN"/>
              </w:rPr>
              <w:t>又抽2023年2月16日与</w:t>
            </w:r>
            <w:r>
              <w:rPr>
                <w:rFonts w:hint="eastAsia"/>
                <w:lang w:val="en-US" w:eastAsia="zh-CN"/>
              </w:rPr>
              <w:t>西安洛科电子科技股份有限公司签订的订货合同，均经过评审，双方签字盖章，符合要求。</w:t>
            </w:r>
          </w:p>
          <w:p>
            <w:pPr>
              <w:autoSpaceDE w:val="0"/>
              <w:autoSpaceDN w:val="0"/>
              <w:adjustRightInd w:val="0"/>
              <w:snapToGrid w:val="0"/>
              <w:spacing w:line="360" w:lineRule="auto"/>
              <w:ind w:right="-6" w:rightChars="-3"/>
              <w:rPr>
                <w:rFonts w:hint="eastAsia" w:ascii="Times New Roman" w:hAnsi="Times New Roman" w:eastAsia="宋体" w:cs="Times New Roman"/>
                <w:szCs w:val="22"/>
              </w:rPr>
            </w:pPr>
            <w:r>
              <w:rPr>
                <w:rFonts w:hint="eastAsia"/>
                <w:lang w:val="en-US" w:eastAsia="zh-CN"/>
              </w:rPr>
              <w:t xml:space="preserve">潘少军经理介绍：生合同更改的情况，询问对更改情况的控制较为明确清楚。 </w:t>
            </w:r>
          </w:p>
        </w:tc>
        <w:tc>
          <w:tcPr>
            <w:tcW w:w="1302" w:type="dxa"/>
            <w:vAlign w:val="top"/>
          </w:tcPr>
          <w:p>
            <w:pPr>
              <w:spacing w:line="360" w:lineRule="auto"/>
              <w:ind w:left="0" w:leftChars="0" w:firstLine="0" w:firstLineChars="0"/>
              <w:jc w:val="left"/>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47" w:type="dxa"/>
            <w:vAlign w:val="top"/>
          </w:tcPr>
          <w:p>
            <w:pPr>
              <w:spacing w:line="360" w:lineRule="auto"/>
              <w:rPr>
                <w:rFonts w:hint="eastAsia" w:ascii="宋体" w:hAnsi="宋体" w:cs="宋体"/>
                <w:szCs w:val="21"/>
                <w:u w:val="none"/>
              </w:rPr>
            </w:pPr>
            <w:r>
              <w:rPr>
                <w:rFonts w:hint="eastAsia"/>
                <w:color w:val="auto"/>
              </w:rPr>
              <w:t>外部提供过程、产品和服务过程管理</w:t>
            </w:r>
          </w:p>
        </w:tc>
        <w:tc>
          <w:tcPr>
            <w:tcW w:w="1187" w:type="dxa"/>
            <w:vAlign w:val="top"/>
          </w:tcPr>
          <w:p>
            <w:pPr>
              <w:spacing w:line="360" w:lineRule="auto"/>
              <w:rPr>
                <w:rFonts w:hint="eastAsia"/>
                <w:szCs w:val="21"/>
                <w:u w:val="none"/>
              </w:rPr>
            </w:pPr>
            <w:r>
              <w:rPr>
                <w:color w:val="auto"/>
              </w:rPr>
              <w:t>8.4</w:t>
            </w:r>
          </w:p>
        </w:tc>
        <w:tc>
          <w:tcPr>
            <w:tcW w:w="10373" w:type="dxa"/>
            <w:vAlign w:val="top"/>
          </w:tcPr>
          <w:p>
            <w:pPr>
              <w:spacing w:line="360" w:lineRule="auto"/>
              <w:ind w:firstLine="420" w:firstLineChars="200"/>
            </w:pPr>
            <w:r>
              <w:rPr>
                <w:rFonts w:hint="eastAsia"/>
              </w:rPr>
              <w:t>编制的《</w:t>
            </w:r>
            <w:r>
              <w:rPr>
                <w:rFonts w:hint="eastAsia"/>
                <w:lang w:eastAsia="zh-CN"/>
              </w:rPr>
              <w:t>采购控制程序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pPr>
            <w:r>
              <w:rPr>
                <w:rFonts w:hint="eastAsia"/>
              </w:rPr>
              <w:t>负责人讲，</w:t>
            </w:r>
            <w:r>
              <w:rPr>
                <w:rFonts w:hint="eastAsia"/>
                <w:lang w:eastAsia="zh-CN"/>
              </w:rPr>
              <w:t>供销部</w:t>
            </w:r>
            <w:r>
              <w:rPr>
                <w:rFonts w:hint="eastAsia"/>
              </w:rPr>
              <w:t>建立合格供方名录，核定《供方评价表》后，编制《合格供方名单》存档。采购人员应该具备相应能力。采购人员应从《合格供方名录》中选择供方。</w:t>
            </w:r>
          </w:p>
          <w:p>
            <w:pPr>
              <w:spacing w:line="360" w:lineRule="auto"/>
              <w:rPr>
                <w:rFonts w:hint="eastAsia" w:eastAsia="宋体"/>
                <w:lang w:eastAsia="zh-CN"/>
              </w:rPr>
            </w:pPr>
            <w:r>
              <w:rPr>
                <w:rFonts w:hint="eastAsia"/>
              </w:rPr>
              <w:t>提供《合格供方名单》: 主要供应商</w:t>
            </w:r>
            <w:r>
              <w:rPr>
                <w:rFonts w:hint="eastAsia"/>
                <w:lang w:val="en-US" w:eastAsia="zh-CN"/>
              </w:rPr>
              <w:t>9</w:t>
            </w:r>
            <w:r>
              <w:rPr>
                <w:rFonts w:hint="eastAsia"/>
              </w:rPr>
              <w:t>家</w:t>
            </w:r>
            <w:r>
              <w:rPr>
                <w:rFonts w:hint="eastAsia"/>
                <w:lang w:eastAsia="zh-CN"/>
              </w:rPr>
              <w:t>：</w:t>
            </w:r>
          </w:p>
          <w:p>
            <w:pPr>
              <w:spacing w:line="360" w:lineRule="auto"/>
              <w:rPr>
                <w:rFonts w:hint="eastAsia"/>
                <w:lang w:eastAsia="zh-CN"/>
              </w:rPr>
            </w:pPr>
            <w:r>
              <w:rPr>
                <w:rFonts w:hint="eastAsia"/>
                <w:lang w:eastAsia="zh-CN"/>
              </w:rPr>
              <w:t>西安思坦仪器股份有限公司       同心可调配水器</w:t>
            </w:r>
          </w:p>
          <w:p>
            <w:pPr>
              <w:spacing w:line="360" w:lineRule="auto"/>
              <w:rPr>
                <w:rFonts w:hint="eastAsia"/>
                <w:lang w:eastAsia="zh-CN"/>
              </w:rPr>
            </w:pPr>
            <w:r>
              <w:rPr>
                <w:rFonts w:hint="eastAsia"/>
                <w:lang w:eastAsia="zh-CN"/>
              </w:rPr>
              <w:t>浙江精华测控设备有限公司       超声波流量计</w:t>
            </w:r>
          </w:p>
          <w:p>
            <w:pPr>
              <w:spacing w:line="360" w:lineRule="auto"/>
              <w:rPr>
                <w:rFonts w:hint="eastAsia"/>
                <w:lang w:eastAsia="zh-CN"/>
              </w:rPr>
            </w:pPr>
            <w:r>
              <w:rPr>
                <w:rFonts w:hint="eastAsia"/>
                <w:lang w:eastAsia="zh-CN"/>
              </w:rPr>
              <w:t>上海昀瑞机电科技有限公司</w:t>
            </w:r>
            <w:r>
              <w:rPr>
                <w:rFonts w:hint="eastAsia"/>
                <w:lang w:eastAsia="zh-CN"/>
              </w:rPr>
              <w:tab/>
            </w:r>
            <w:r>
              <w:rPr>
                <w:rFonts w:hint="eastAsia"/>
                <w:lang w:eastAsia="zh-CN"/>
              </w:rPr>
              <w:t>电机</w:t>
            </w:r>
          </w:p>
          <w:p>
            <w:pPr>
              <w:spacing w:line="360" w:lineRule="auto"/>
              <w:rPr>
                <w:rFonts w:hint="eastAsia"/>
                <w:lang w:eastAsia="zh-CN"/>
              </w:rPr>
            </w:pPr>
            <w:r>
              <w:rPr>
                <w:rFonts w:hint="eastAsia"/>
                <w:lang w:eastAsia="zh-CN"/>
              </w:rPr>
              <w:t>西安嘉能商贸有限公司</w:t>
            </w:r>
            <w:r>
              <w:rPr>
                <w:rFonts w:hint="eastAsia"/>
                <w:lang w:eastAsia="zh-CN"/>
              </w:rPr>
              <w:tab/>
            </w:r>
            <w:r>
              <w:rPr>
                <w:rFonts w:hint="eastAsia"/>
                <w:lang w:eastAsia="zh-CN"/>
              </w:rPr>
              <w:t xml:space="preserve">         钢17-4，304</w:t>
            </w:r>
          </w:p>
          <w:p>
            <w:pPr>
              <w:spacing w:line="360" w:lineRule="auto"/>
              <w:rPr>
                <w:rFonts w:hint="eastAsia"/>
                <w:lang w:eastAsia="zh-CN"/>
              </w:rPr>
            </w:pPr>
            <w:r>
              <w:rPr>
                <w:rFonts w:hint="eastAsia"/>
                <w:lang w:eastAsia="zh-CN"/>
              </w:rPr>
              <w:t>上海新仪机电技术有限公司        电机</w:t>
            </w:r>
          </w:p>
          <w:p>
            <w:pPr>
              <w:spacing w:line="360" w:lineRule="auto"/>
              <w:rPr>
                <w:rFonts w:hint="eastAsia"/>
                <w:lang w:eastAsia="zh-CN"/>
              </w:rPr>
            </w:pPr>
            <w:r>
              <w:rPr>
                <w:rFonts w:hint="eastAsia"/>
                <w:lang w:eastAsia="zh-CN"/>
              </w:rPr>
              <w:t>深圳顺易捷科技有限公司</w:t>
            </w:r>
            <w:r>
              <w:rPr>
                <w:rFonts w:hint="eastAsia"/>
                <w:lang w:eastAsia="zh-CN"/>
              </w:rPr>
              <w:tab/>
            </w:r>
            <w:r>
              <w:rPr>
                <w:rFonts w:hint="eastAsia"/>
                <w:lang w:eastAsia="zh-CN"/>
              </w:rPr>
              <w:t xml:space="preserve">       电路板</w:t>
            </w:r>
          </w:p>
          <w:p>
            <w:pPr>
              <w:spacing w:line="360" w:lineRule="auto"/>
              <w:rPr>
                <w:rFonts w:hint="eastAsia"/>
                <w:lang w:eastAsia="zh-CN"/>
              </w:rPr>
            </w:pPr>
            <w:r>
              <w:rPr>
                <w:rFonts w:hint="eastAsia"/>
                <w:lang w:eastAsia="zh-CN"/>
              </w:rPr>
              <w:t>西安卓科测量仪器有限公司         压力传感器</w:t>
            </w:r>
          </w:p>
          <w:p>
            <w:pPr>
              <w:spacing w:line="360" w:lineRule="auto"/>
              <w:rPr>
                <w:rFonts w:hint="eastAsia"/>
                <w:lang w:eastAsia="zh-CN"/>
              </w:rPr>
            </w:pPr>
            <w:r>
              <w:rPr>
                <w:rFonts w:hint="eastAsia"/>
                <w:lang w:eastAsia="zh-CN"/>
              </w:rPr>
              <w:t>江苏菲斯特测控仪表有限公司       防爆数显压力表</w:t>
            </w:r>
          </w:p>
          <w:p>
            <w:pPr>
              <w:spacing w:line="360" w:lineRule="auto"/>
              <w:rPr>
                <w:rFonts w:hint="eastAsia"/>
                <w:lang w:eastAsia="zh-CN"/>
              </w:rPr>
            </w:pPr>
            <w:r>
              <w:rPr>
                <w:rFonts w:hint="eastAsia"/>
                <w:lang w:eastAsia="zh-CN"/>
              </w:rPr>
              <w:t>户县益恒机械厂                  机加工外包</w:t>
            </w:r>
          </w:p>
          <w:p>
            <w:pPr>
              <w:spacing w:line="360" w:lineRule="auto"/>
              <w:rPr>
                <w:rFonts w:hint="eastAsia"/>
                <w:lang w:eastAsia="zh-CN"/>
              </w:rPr>
            </w:pPr>
            <w:r>
              <w:rPr>
                <w:rFonts w:hint="eastAsia"/>
              </w:rPr>
              <w:t>抽以上供方调查评价记录单：对供方资质、能力和供应能力情况、历史及社会信誉情况、质量及以往使用情况等评定结论：同意</w:t>
            </w:r>
            <w:r>
              <w:rPr>
                <w:rFonts w:hint="eastAsia"/>
                <w:lang w:val="en-US" w:eastAsia="zh-CN"/>
              </w:rPr>
              <w:t xml:space="preserve">    </w:t>
            </w:r>
            <w:r>
              <w:rPr>
                <w:rFonts w:hint="eastAsia"/>
              </w:rPr>
              <w:t>批准：</w:t>
            </w:r>
            <w:r>
              <w:rPr>
                <w:rFonts w:hint="eastAsia"/>
                <w:lang w:val="en-US" w:eastAsia="zh-CN"/>
              </w:rPr>
              <w:t>潘少军</w:t>
            </w:r>
            <w:r>
              <w:rPr>
                <w:rFonts w:hint="eastAsia"/>
              </w:rPr>
              <w:t xml:space="preserve">    日期：</w:t>
            </w:r>
            <w:r>
              <w:rPr>
                <w:rFonts w:hint="eastAsia"/>
                <w:lang w:eastAsia="zh-CN"/>
              </w:rPr>
              <w:t>202</w:t>
            </w:r>
            <w:r>
              <w:rPr>
                <w:rFonts w:hint="eastAsia"/>
                <w:lang w:val="en-US" w:eastAsia="zh-CN"/>
              </w:rPr>
              <w:t>2.6</w:t>
            </w:r>
            <w:r>
              <w:rPr>
                <w:rFonts w:hint="eastAsia"/>
              </w:rPr>
              <w:t>.</w:t>
            </w:r>
            <w:r>
              <w:rPr>
                <w:rFonts w:hint="eastAsia"/>
                <w:lang w:val="en-US" w:eastAsia="zh-CN"/>
              </w:rPr>
              <w:t>5</w:t>
            </w:r>
          </w:p>
          <w:p>
            <w:pPr>
              <w:spacing w:line="360" w:lineRule="auto"/>
            </w:pPr>
            <w:r>
              <w:rPr>
                <w:rFonts w:hint="eastAsia"/>
              </w:rPr>
              <w:t>--《供方评价表》</w:t>
            </w:r>
          </w:p>
          <w:p>
            <w:pPr>
              <w:spacing w:line="360" w:lineRule="auto"/>
            </w:pPr>
            <w:r>
              <w:rPr>
                <w:rFonts w:hint="eastAsia"/>
              </w:rPr>
              <w:t xml:space="preserve"> </w:t>
            </w:r>
            <w:r>
              <w:rPr>
                <w:rFonts w:hint="eastAsia"/>
                <w:lang w:eastAsia="zh-CN"/>
              </w:rPr>
              <w:t>202</w:t>
            </w:r>
            <w:r>
              <w:rPr>
                <w:rFonts w:hint="eastAsia"/>
                <w:lang w:val="en-US" w:eastAsia="zh-CN"/>
              </w:rPr>
              <w:t>2</w:t>
            </w:r>
            <w:r>
              <w:rPr>
                <w:rFonts w:hint="eastAsia"/>
              </w:rPr>
              <w:t>年</w:t>
            </w:r>
            <w:r>
              <w:rPr>
                <w:rFonts w:hint="eastAsia"/>
                <w:lang w:val="en-US" w:eastAsia="zh-CN"/>
              </w:rPr>
              <w:t>6</w:t>
            </w:r>
            <w:r>
              <w:rPr>
                <w:rFonts w:hint="eastAsia"/>
              </w:rPr>
              <w:t>月供方评价确认：</w:t>
            </w:r>
          </w:p>
          <w:p>
            <w:pPr>
              <w:spacing w:line="360" w:lineRule="auto"/>
            </w:pPr>
            <w:r>
              <w:rPr>
                <w:rFonts w:hint="eastAsia"/>
                <w:lang w:eastAsia="zh-CN"/>
              </w:rPr>
              <w:t>西安思坦仪器股份有限公司</w:t>
            </w:r>
            <w:r>
              <w:rPr>
                <w:rFonts w:hint="eastAsia"/>
              </w:rPr>
              <w:t>（供应：</w:t>
            </w:r>
            <w:r>
              <w:rPr>
                <w:rFonts w:hint="eastAsia"/>
                <w:lang w:eastAsia="zh-CN"/>
              </w:rPr>
              <w:t>同心可调配水器</w:t>
            </w:r>
            <w:r>
              <w:rPr>
                <w:rFonts w:hint="eastAsia"/>
              </w:rPr>
              <w:t>）；</w:t>
            </w:r>
          </w:p>
          <w:p>
            <w:pPr>
              <w:spacing w:line="360" w:lineRule="auto"/>
              <w:rPr>
                <w:rFonts w:hint="eastAsia"/>
                <w:lang w:eastAsia="zh-CN"/>
              </w:rPr>
            </w:pPr>
            <w:r>
              <w:rPr>
                <w:rFonts w:hint="eastAsia"/>
              </w:rPr>
              <w:t>公司组织各部门对该供方的资质、产品质量、价格、及时度、服务、交期等进行了评价，有各部门评价人签字。调查评价：合格，同意列入合格供应商  评价人：</w:t>
            </w:r>
            <w:r>
              <w:rPr>
                <w:rFonts w:hint="eastAsia"/>
                <w:lang w:eastAsia="zh-CN"/>
              </w:rPr>
              <w:t>潘少军</w:t>
            </w:r>
            <w:r>
              <w:rPr>
                <w:rFonts w:hint="eastAsia"/>
              </w:rPr>
              <w:t xml:space="preserve"> </w:t>
            </w:r>
            <w:r>
              <w:rPr>
                <w:rFonts w:hint="eastAsia"/>
                <w:lang w:eastAsia="zh-CN"/>
              </w:rPr>
              <w:t>202</w:t>
            </w:r>
            <w:r>
              <w:rPr>
                <w:rFonts w:hint="eastAsia"/>
                <w:lang w:val="en-US" w:eastAsia="zh-CN"/>
              </w:rPr>
              <w:t>2.6</w:t>
            </w:r>
            <w:r>
              <w:rPr>
                <w:rFonts w:hint="eastAsia"/>
              </w:rPr>
              <w:t>.</w:t>
            </w:r>
            <w:r>
              <w:rPr>
                <w:rFonts w:hint="eastAsia"/>
                <w:lang w:val="en-US" w:eastAsia="zh-CN"/>
              </w:rPr>
              <w:t>5</w:t>
            </w:r>
          </w:p>
          <w:p>
            <w:pPr>
              <w:spacing w:line="360" w:lineRule="auto"/>
              <w:rPr>
                <w:rFonts w:hint="eastAsia"/>
                <w:lang w:val="en-US" w:eastAsia="zh-CN"/>
              </w:rPr>
            </w:pPr>
            <w:r>
              <w:rPr>
                <w:rFonts w:hint="eastAsia"/>
                <w:lang w:val="en-US" w:eastAsia="zh-CN"/>
              </w:rPr>
              <w:t>每年对服务供应商的资质、参数覆盖范围、量传能力等方面进行评定，</w:t>
            </w:r>
            <w:r>
              <w:rPr>
                <w:rFonts w:hint="eastAsia"/>
              </w:rPr>
              <w:t>外部提供服务的控制</w:t>
            </w:r>
            <w:r>
              <w:rPr>
                <w:rFonts w:hint="eastAsia"/>
                <w:lang w:val="en-US" w:eastAsia="zh-CN"/>
              </w:rPr>
              <w:t>有效。</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6</w:t>
            </w:r>
            <w:r>
              <w:rPr>
                <w:rFonts w:hint="eastAsia" w:ascii="Times New Roman" w:hAnsi="Times New Roman" w:eastAsia="宋体" w:cs="Times New Roman"/>
                <w:lang w:val="en-US" w:eastAsia="zh-CN"/>
              </w:rPr>
              <w:t>.23与</w:t>
            </w:r>
            <w:r>
              <w:rPr>
                <w:rFonts w:hint="eastAsia"/>
                <w:lang w:eastAsia="zh-CN"/>
              </w:rPr>
              <w:t>户县益恒机械厂</w:t>
            </w:r>
            <w:r>
              <w:rPr>
                <w:rFonts w:hint="eastAsia" w:ascii="Times New Roman" w:hAnsi="Times New Roman" w:eastAsia="宋体" w:cs="Times New Roman"/>
                <w:lang w:val="en-US" w:eastAsia="zh-CN"/>
              </w:rPr>
              <w:t>签订《订货合同》的</w:t>
            </w:r>
            <w:r>
              <w:rPr>
                <w:rFonts w:hint="eastAsia"/>
                <w:lang w:eastAsia="zh-CN"/>
              </w:rPr>
              <w:t>外包</w:t>
            </w:r>
            <w:r>
              <w:rPr>
                <w:rFonts w:hint="eastAsia" w:ascii="Times New Roman" w:hAnsi="Times New Roman" w:eastAsia="宋体" w:cs="Times New Roman"/>
                <w:lang w:val="en-US" w:eastAsia="zh-CN"/>
              </w:rPr>
              <w:t>机加件。</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color w:val="auto"/>
                <w:szCs w:val="21"/>
              </w:rPr>
            </w:pPr>
            <w:r>
              <w:rPr>
                <w:rFonts w:hint="eastAsia" w:ascii="宋体" w:hAnsi="宋体" w:cs="宋体"/>
                <w:szCs w:val="21"/>
              </w:rPr>
              <w:t>负责人讲与供方沟通的内容包括：所提供的过程、产品和服务等；采购物资根据签订采购合同进产品的</w:t>
            </w:r>
            <w:r>
              <w:rPr>
                <w:rFonts w:hint="eastAsia" w:ascii="宋体" w:hAnsi="宋体" w:cs="宋体"/>
                <w:color w:val="auto"/>
                <w:szCs w:val="21"/>
              </w:rPr>
              <w:t>名称、规格、型号、数量等采购信息的确定。</w:t>
            </w:r>
          </w:p>
          <w:p>
            <w:pPr>
              <w:spacing w:line="360" w:lineRule="auto"/>
              <w:rPr>
                <w:rFonts w:hint="default" w:eastAsia="宋体"/>
                <w:color w:val="auto"/>
                <w:lang w:val="en-US" w:eastAsia="zh-CN"/>
              </w:rPr>
            </w:pPr>
            <w:r>
              <w:rPr>
                <w:rFonts w:hint="eastAsia"/>
                <w:color w:val="auto"/>
              </w:rPr>
              <w:t>抽</w:t>
            </w:r>
            <w:r>
              <w:rPr>
                <w:rFonts w:hint="eastAsia"/>
                <w:color w:val="auto"/>
                <w:lang w:eastAsia="zh-CN"/>
              </w:rPr>
              <w:t>《</w:t>
            </w:r>
            <w:r>
              <w:rPr>
                <w:rFonts w:hint="eastAsia"/>
                <w:color w:val="auto"/>
                <w:lang w:val="en-US" w:eastAsia="zh-CN"/>
              </w:rPr>
              <w:t>订货合同</w:t>
            </w:r>
            <w:r>
              <w:rPr>
                <w:rFonts w:hint="eastAsia"/>
                <w:color w:val="auto"/>
                <w:lang w:eastAsia="zh-CN"/>
              </w:rPr>
              <w:t>》</w:t>
            </w:r>
            <w:r>
              <w:rPr>
                <w:rFonts w:hint="eastAsia"/>
                <w:color w:val="auto"/>
                <w:lang w:val="en-US" w:eastAsia="zh-CN"/>
              </w:rPr>
              <w:t>:供方：</w:t>
            </w:r>
            <w:r>
              <w:rPr>
                <w:rFonts w:hint="eastAsia"/>
                <w:lang w:eastAsia="zh-CN"/>
              </w:rPr>
              <w:t>户县益恒机械厂</w:t>
            </w:r>
            <w:r>
              <w:rPr>
                <w:rFonts w:hint="eastAsia"/>
                <w:color w:val="auto"/>
                <w:lang w:eastAsia="zh-CN"/>
              </w:rPr>
              <w:t>，</w:t>
            </w:r>
            <w:r>
              <w:rPr>
                <w:rFonts w:hint="eastAsia"/>
                <w:color w:val="auto"/>
                <w:lang w:val="en-US" w:eastAsia="zh-CN"/>
              </w:rPr>
              <w:t>签订日期：2022.11.12</w:t>
            </w:r>
          </w:p>
          <w:p>
            <w:pPr>
              <w:spacing w:line="360" w:lineRule="auto"/>
              <w:rPr>
                <w:color w:val="auto"/>
              </w:rPr>
            </w:pPr>
            <w:r>
              <w:rPr>
                <w:rFonts w:hint="eastAsia"/>
                <w:color w:val="auto"/>
              </w:rPr>
              <w:t xml:space="preserve">产品名称             数量       </w:t>
            </w:r>
            <w:r>
              <w:rPr>
                <w:rFonts w:hint="eastAsia"/>
                <w:color w:val="auto"/>
                <w:lang w:val="en-US" w:eastAsia="zh-CN"/>
              </w:rPr>
              <w:t>期望交付</w:t>
            </w:r>
          </w:p>
          <w:p>
            <w:pPr>
              <w:spacing w:line="360" w:lineRule="auto"/>
              <w:rPr>
                <w:rFonts w:hint="eastAsia"/>
                <w:color w:val="auto"/>
                <w:szCs w:val="21"/>
                <w:lang w:val="en-US" w:eastAsia="zh-CN"/>
              </w:rPr>
            </w:pPr>
            <w:r>
              <w:rPr>
                <w:rFonts w:hint="eastAsia"/>
                <w:color w:val="auto"/>
                <w:szCs w:val="21"/>
                <w:lang w:val="en-US" w:eastAsia="zh-CN"/>
              </w:rPr>
              <w:t xml:space="preserve">壳体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10个</w:t>
            </w:r>
            <w:r>
              <w:rPr>
                <w:rFonts w:hint="eastAsia"/>
                <w:color w:val="auto"/>
                <w:szCs w:val="21"/>
              </w:rPr>
              <w:t xml:space="preserve">     </w:t>
            </w:r>
            <w:r>
              <w:rPr>
                <w:rFonts w:hint="eastAsia"/>
                <w:color w:val="auto"/>
                <w:szCs w:val="21"/>
                <w:lang w:val="en-US" w:eastAsia="zh-CN"/>
              </w:rPr>
              <w:t xml:space="preserve"> 一周交付</w:t>
            </w:r>
          </w:p>
          <w:p>
            <w:pPr>
              <w:spacing w:line="360" w:lineRule="auto"/>
              <w:rPr>
                <w:rFonts w:hint="default" w:eastAsia="宋体"/>
                <w:color w:val="auto"/>
                <w:szCs w:val="21"/>
                <w:lang w:val="en-US" w:eastAsia="zh-CN"/>
              </w:rPr>
            </w:pPr>
            <w:r>
              <w:rPr>
                <w:rFonts w:hint="eastAsia"/>
                <w:color w:val="auto"/>
                <w:szCs w:val="21"/>
                <w:lang w:val="en-US" w:eastAsia="zh-CN"/>
              </w:rPr>
              <w:t>再查《</w:t>
            </w:r>
            <w:r>
              <w:rPr>
                <w:rFonts w:hint="eastAsia"/>
                <w:color w:val="auto"/>
                <w:lang w:val="en-US" w:eastAsia="zh-CN"/>
              </w:rPr>
              <w:t>订货合同</w:t>
            </w:r>
            <w:r>
              <w:rPr>
                <w:rFonts w:hint="eastAsia"/>
                <w:color w:val="auto"/>
                <w:szCs w:val="21"/>
                <w:lang w:val="en-US" w:eastAsia="zh-CN"/>
              </w:rPr>
              <w:t>》,供应单位：</w:t>
            </w:r>
            <w:r>
              <w:rPr>
                <w:rFonts w:hint="eastAsia"/>
                <w:lang w:eastAsia="zh-CN"/>
              </w:rPr>
              <w:t>西安思坦仪器股份有限公司</w:t>
            </w:r>
            <w:r>
              <w:rPr>
                <w:rFonts w:hint="eastAsia"/>
                <w:color w:val="auto"/>
                <w:lang w:eastAsia="zh-CN"/>
              </w:rPr>
              <w:t>，</w:t>
            </w:r>
            <w:r>
              <w:rPr>
                <w:rFonts w:hint="eastAsia"/>
                <w:color w:val="auto"/>
                <w:lang w:val="en-US" w:eastAsia="zh-CN"/>
              </w:rPr>
              <w:t>签订日期：2022.12.10</w:t>
            </w:r>
          </w:p>
          <w:p>
            <w:pPr>
              <w:spacing w:line="360" w:lineRule="auto"/>
              <w:rPr>
                <w:color w:val="auto"/>
              </w:rPr>
            </w:pPr>
            <w:r>
              <w:rPr>
                <w:rFonts w:hint="eastAsia"/>
                <w:color w:val="auto"/>
              </w:rPr>
              <w:t xml:space="preserve">产品名称                数量       </w:t>
            </w:r>
            <w:r>
              <w:rPr>
                <w:rFonts w:hint="eastAsia"/>
                <w:color w:val="auto"/>
                <w:lang w:val="en-US" w:eastAsia="zh-CN"/>
              </w:rPr>
              <w:t>期望交付</w:t>
            </w:r>
          </w:p>
          <w:p>
            <w:pPr>
              <w:spacing w:line="360" w:lineRule="auto"/>
              <w:rPr>
                <w:rFonts w:hint="eastAsia"/>
                <w:color w:val="auto"/>
                <w:szCs w:val="21"/>
                <w:lang w:val="en-US" w:eastAsia="zh-CN"/>
              </w:rPr>
            </w:pPr>
            <w:r>
              <w:rPr>
                <w:rFonts w:hint="eastAsia"/>
                <w:lang w:eastAsia="zh-CN"/>
              </w:rPr>
              <w:t>同心可调配水器</w:t>
            </w:r>
            <w:r>
              <w:rPr>
                <w:rFonts w:hint="eastAsia"/>
                <w:color w:val="auto"/>
                <w:szCs w:val="21"/>
              </w:rPr>
              <w:t xml:space="preserve">         </w:t>
            </w:r>
            <w:r>
              <w:rPr>
                <w:rFonts w:hint="eastAsia"/>
                <w:color w:val="auto"/>
                <w:szCs w:val="21"/>
                <w:lang w:val="en-US" w:eastAsia="zh-CN"/>
              </w:rPr>
              <w:t xml:space="preserve">  5</w:t>
            </w:r>
            <w:r>
              <w:rPr>
                <w:rFonts w:hint="eastAsia"/>
                <w:color w:val="auto"/>
                <w:szCs w:val="21"/>
              </w:rPr>
              <w:t xml:space="preserve">    </w:t>
            </w:r>
            <w:r>
              <w:rPr>
                <w:rFonts w:hint="eastAsia"/>
                <w:color w:val="auto"/>
                <w:szCs w:val="21"/>
                <w:lang w:val="en-US" w:eastAsia="zh-CN"/>
              </w:rPr>
              <w:t xml:space="preserve">   一周内交付</w:t>
            </w:r>
          </w:p>
          <w:p>
            <w:pPr>
              <w:spacing w:line="360" w:lineRule="auto"/>
              <w:rPr>
                <w:rFonts w:hint="eastAsia"/>
                <w:color w:val="auto"/>
                <w:szCs w:val="21"/>
              </w:rPr>
            </w:pPr>
            <w:r>
              <w:rPr>
                <w:color w:val="auto"/>
                <w:szCs w:val="21"/>
              </w:rPr>
              <w:t>……</w:t>
            </w:r>
            <w:r>
              <w:rPr>
                <w:rFonts w:hint="eastAsia"/>
                <w:color w:val="auto"/>
                <w:szCs w:val="21"/>
              </w:rPr>
              <w:t>..</w:t>
            </w:r>
          </w:p>
          <w:p>
            <w:pPr>
              <w:spacing w:line="360" w:lineRule="auto"/>
              <w:rPr>
                <w:szCs w:val="21"/>
              </w:rPr>
            </w:pPr>
            <w:r>
              <w:rPr>
                <w:rFonts w:hint="eastAsia"/>
              </w:rPr>
              <w:t>另抽其采购计划单，均保存完好，符合要求。</w:t>
            </w:r>
          </w:p>
          <w:p>
            <w:pPr>
              <w:spacing w:line="360" w:lineRule="auto"/>
              <w:rPr>
                <w:rFonts w:hint="default" w:eastAsia="宋体"/>
                <w:color w:val="000000"/>
                <w:lang w:val="en-US" w:eastAsia="zh-CN"/>
              </w:rPr>
            </w:pPr>
            <w:r>
              <w:rPr>
                <w:rFonts w:hint="eastAsia"/>
                <w:color w:val="000000"/>
              </w:rPr>
              <w:t>编制：</w:t>
            </w:r>
            <w:r>
              <w:rPr>
                <w:rFonts w:hint="eastAsia" w:ascii="宋体"/>
                <w:color w:val="000000"/>
                <w:lang w:eastAsia="zh-CN"/>
              </w:rPr>
              <w:t>供销部</w:t>
            </w:r>
            <w:r>
              <w:rPr>
                <w:rFonts w:hint="eastAsia"/>
                <w:color w:val="000000"/>
                <w:lang w:val="en-US" w:eastAsia="zh-CN"/>
              </w:rPr>
              <w:t>潘少军</w:t>
            </w:r>
          </w:p>
          <w:p>
            <w:pPr>
              <w:spacing w:line="360" w:lineRule="auto"/>
              <w:rPr>
                <w:color w:val="FF0000"/>
              </w:rPr>
            </w:pPr>
            <w:r>
              <w:rPr>
                <w:rFonts w:hint="eastAsia"/>
                <w:color w:val="000000"/>
              </w:rPr>
              <w:t>另抽其他材料采购计划单，均保存完好，符合要求。</w:t>
            </w:r>
          </w:p>
          <w:p>
            <w:pPr>
              <w:spacing w:line="360" w:lineRule="auto"/>
              <w:rPr>
                <w:rFonts w:hint="eastAsia" w:ascii="Times New Roman" w:hAnsi="Times New Roman" w:eastAsia="宋体" w:cs="Times New Roman"/>
                <w:szCs w:val="22"/>
              </w:rPr>
            </w:pPr>
            <w:r>
              <w:rPr>
                <w:rFonts w:hint="eastAsia" w:ascii="Times New Roman" w:hAnsi="Times New Roman" w:cs="Times New Roman"/>
                <w:color w:val="000000"/>
              </w:rPr>
              <w:t>原材料检验见8.6条款</w:t>
            </w:r>
          </w:p>
        </w:tc>
        <w:tc>
          <w:tcPr>
            <w:tcW w:w="1302"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47" w:type="dxa"/>
            <w:vAlign w:val="center"/>
          </w:tcPr>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销售和服务提供的控制</w:t>
            </w:r>
          </w:p>
        </w:tc>
        <w:tc>
          <w:tcPr>
            <w:tcW w:w="1187" w:type="dxa"/>
            <w:vAlign w:val="center"/>
          </w:tcPr>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r>
              <w:rPr>
                <w:rFonts w:hint="eastAsia" w:ascii="Times New Roman" w:hAnsi="Times New Roman" w:eastAsia="宋体" w:cs="Times New Roman"/>
              </w:rPr>
              <w:t>Q：8.5.1</w:t>
            </w: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rPr>
            </w:pPr>
          </w:p>
          <w:p>
            <w:pPr>
              <w:spacing w:line="360" w:lineRule="auto"/>
              <w:rPr>
                <w:rFonts w:hint="eastAsia" w:ascii="Times New Roman" w:hAnsi="Times New Roman" w:eastAsia="宋体" w:cs="Times New Roman"/>
                <w:lang w:val="en-US" w:eastAsia="zh-CN"/>
              </w:rPr>
            </w:pPr>
          </w:p>
        </w:tc>
        <w:tc>
          <w:tcPr>
            <w:tcW w:w="10373" w:type="dxa"/>
            <w:vAlign w:val="center"/>
          </w:tcPr>
          <w:p>
            <w:pPr>
              <w:tabs>
                <w:tab w:val="left" w:pos="6597"/>
              </w:tabs>
              <w:spacing w:line="360" w:lineRule="auto"/>
              <w:ind w:firstLine="420" w:firstLineChars="200"/>
              <w:rPr>
                <w:szCs w:val="22"/>
              </w:rPr>
            </w:pPr>
            <w:r>
              <w:rPr>
                <w:rFonts w:hint="eastAsia"/>
                <w:szCs w:val="22"/>
              </w:rPr>
              <w:t>公司编制并执行《售后服务规定》、《营销服务质量的控制规范》等。</w:t>
            </w:r>
          </w:p>
          <w:p>
            <w:pPr>
              <w:tabs>
                <w:tab w:val="left" w:pos="6597"/>
              </w:tabs>
              <w:spacing w:line="360" w:lineRule="auto"/>
              <w:ind w:firstLine="420" w:firstLineChars="200"/>
              <w:rPr>
                <w:szCs w:val="22"/>
              </w:rPr>
            </w:pPr>
            <w:r>
              <w:rPr>
                <w:rFonts w:hint="eastAsia"/>
                <w:szCs w:val="22"/>
              </w:rPr>
              <w:t>现场查看</w:t>
            </w:r>
            <w:r>
              <w:rPr>
                <w:rFonts w:hint="eastAsia"/>
                <w:szCs w:val="22"/>
                <w:lang w:val="en-US" w:eastAsia="zh-CN"/>
              </w:rPr>
              <w:t>销售</w:t>
            </w:r>
            <w:r>
              <w:rPr>
                <w:rFonts w:hint="eastAsia"/>
                <w:szCs w:val="22"/>
              </w:rPr>
              <w:t>工作情况：</w:t>
            </w:r>
          </w:p>
          <w:p>
            <w:pPr>
              <w:tabs>
                <w:tab w:val="left" w:pos="6597"/>
              </w:tabs>
              <w:spacing w:line="360" w:lineRule="auto"/>
              <w:ind w:firstLine="420" w:firstLineChars="200"/>
              <w:rPr>
                <w:szCs w:val="22"/>
              </w:rPr>
            </w:pPr>
            <w:r>
              <w:rPr>
                <w:rFonts w:hint="eastAsia"/>
                <w:szCs w:val="22"/>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20" w:firstLineChars="200"/>
              <w:rPr>
                <w:szCs w:val="22"/>
              </w:rPr>
            </w:pPr>
            <w:r>
              <w:rPr>
                <w:rFonts w:hint="eastAsia"/>
                <w:szCs w:val="22"/>
              </w:rPr>
              <w:t>2.资源配置齐备，设施设备可以满足要求。</w:t>
            </w:r>
          </w:p>
          <w:p>
            <w:pPr>
              <w:tabs>
                <w:tab w:val="left" w:pos="6597"/>
              </w:tabs>
              <w:spacing w:line="360" w:lineRule="auto"/>
              <w:ind w:firstLine="420" w:firstLineChars="200"/>
              <w:rPr>
                <w:szCs w:val="22"/>
              </w:rPr>
            </w:pPr>
            <w:r>
              <w:rPr>
                <w:rFonts w:hint="eastAsia"/>
                <w:szCs w:val="22"/>
              </w:rPr>
              <w:t>3.现场查看销售合同都进行了评审、加盖了公司公章，参见8.2工作单。</w:t>
            </w:r>
          </w:p>
          <w:p>
            <w:pPr>
              <w:tabs>
                <w:tab w:val="left" w:pos="6597"/>
              </w:tabs>
              <w:spacing w:line="360" w:lineRule="auto"/>
              <w:ind w:firstLine="420" w:firstLineChars="200"/>
              <w:rPr>
                <w:szCs w:val="22"/>
              </w:rPr>
            </w:pPr>
            <w:r>
              <w:rPr>
                <w:rFonts w:hint="eastAsia"/>
                <w:szCs w:val="22"/>
              </w:rPr>
              <w:t>4.现场提供有产品检验记录表、发货单，参见8.6工作单。</w:t>
            </w:r>
          </w:p>
          <w:p>
            <w:pPr>
              <w:tabs>
                <w:tab w:val="left" w:pos="6597"/>
              </w:tabs>
              <w:spacing w:line="360" w:lineRule="auto"/>
              <w:ind w:firstLine="420" w:firstLineChars="200"/>
              <w:rPr>
                <w:szCs w:val="22"/>
              </w:rPr>
            </w:pPr>
            <w:r>
              <w:rPr>
                <w:rFonts w:hint="eastAsia"/>
                <w:szCs w:val="22"/>
              </w:rPr>
              <w:t>5.管理人员以及业务员、质检员、库管员都经过了培训，能力满足要求，无特种作业人员。</w:t>
            </w:r>
          </w:p>
          <w:p>
            <w:pPr>
              <w:tabs>
                <w:tab w:val="left" w:pos="6597"/>
              </w:tabs>
              <w:spacing w:line="360" w:lineRule="auto"/>
              <w:ind w:firstLine="420" w:firstLineChars="200"/>
              <w:rPr>
                <w:color w:val="auto"/>
                <w:szCs w:val="22"/>
              </w:rPr>
            </w:pPr>
            <w:r>
              <w:rPr>
                <w:rFonts w:hint="eastAsia"/>
                <w:color w:val="auto"/>
                <w:szCs w:val="22"/>
              </w:rPr>
              <w:t>6.公司将销售过程定为需要确认的过程。</w:t>
            </w:r>
            <w:r>
              <w:rPr>
                <w:rFonts w:hint="eastAsia" w:ascii="方正仿宋简体" w:eastAsia="方正仿宋简体"/>
                <w:b/>
                <w:lang w:val="en-US" w:eastAsia="zh-CN"/>
              </w:rPr>
              <w:t>未能提供销售服务过程确认的证据。</w:t>
            </w:r>
          </w:p>
          <w:p>
            <w:pPr>
              <w:tabs>
                <w:tab w:val="left" w:pos="6597"/>
              </w:tabs>
              <w:spacing w:line="360" w:lineRule="auto"/>
              <w:ind w:firstLine="420" w:firstLineChars="200"/>
              <w:rPr>
                <w:szCs w:val="22"/>
              </w:rPr>
            </w:pPr>
            <w:r>
              <w:rPr>
                <w:rFonts w:hint="eastAsia"/>
                <w:szCs w:val="22"/>
              </w:rPr>
              <w:t>7.制定了销售管理制度、产品搬运管理制度、仓库管理制度等，规定了操作的步骤、方法、注意事项等，操作人员直接按要求进行控制，防止人为错误，无叉车等特种设备。</w:t>
            </w:r>
          </w:p>
          <w:p>
            <w:pPr>
              <w:tabs>
                <w:tab w:val="left" w:pos="6597"/>
              </w:tabs>
              <w:spacing w:line="360" w:lineRule="auto"/>
              <w:ind w:firstLine="420" w:firstLineChars="200"/>
              <w:rPr>
                <w:color w:val="000000" w:themeColor="text1"/>
                <w:szCs w:val="22"/>
              </w:rPr>
            </w:pPr>
            <w:r>
              <w:rPr>
                <w:rFonts w:hint="eastAsia"/>
                <w:color w:val="000000" w:themeColor="text1"/>
                <w:szCs w:val="22"/>
              </w:rPr>
              <w:t>8.通过“营销人员工作监督表”的形式对销售人员进行监督和评价。</w:t>
            </w:r>
          </w:p>
          <w:p>
            <w:pPr>
              <w:tabs>
                <w:tab w:val="left" w:pos="6597"/>
              </w:tabs>
              <w:spacing w:line="360" w:lineRule="auto"/>
              <w:ind w:firstLine="420" w:firstLineChars="200"/>
              <w:rPr>
                <w:rFonts w:hint="eastAsia" w:ascii="Times New Roman" w:hAnsi="Times New Roman" w:eastAsia="宋体" w:cs="Times New Roman"/>
                <w:color w:val="000000" w:themeColor="text1"/>
                <w:szCs w:val="22"/>
              </w:rPr>
            </w:pPr>
            <w:r>
              <w:rPr>
                <w:rFonts w:hint="eastAsia"/>
                <w:color w:val="000000" w:themeColor="text1"/>
                <w:szCs w:val="22"/>
              </w:rPr>
              <w:t>抽查202</w:t>
            </w:r>
            <w:r>
              <w:rPr>
                <w:rFonts w:hint="eastAsia"/>
                <w:color w:val="000000" w:themeColor="text1"/>
                <w:szCs w:val="22"/>
                <w:lang w:val="en-US" w:eastAsia="zh-CN"/>
              </w:rPr>
              <w:t>2</w:t>
            </w:r>
            <w:r>
              <w:rPr>
                <w:rFonts w:hint="eastAsia"/>
                <w:color w:val="000000" w:themeColor="text1"/>
                <w:szCs w:val="22"/>
              </w:rPr>
              <w:t>年</w:t>
            </w:r>
            <w:r>
              <w:rPr>
                <w:rFonts w:hint="eastAsia"/>
                <w:color w:val="000000" w:themeColor="text1"/>
                <w:szCs w:val="22"/>
                <w:lang w:val="en-US" w:eastAsia="zh-CN"/>
              </w:rPr>
              <w:t>10</w:t>
            </w:r>
            <w:r>
              <w:rPr>
                <w:rFonts w:hint="eastAsia"/>
                <w:color w:val="000000" w:themeColor="text1"/>
                <w:szCs w:val="22"/>
              </w:rPr>
              <w:t>月</w:t>
            </w:r>
            <w:r>
              <w:rPr>
                <w:rFonts w:hint="eastAsia"/>
                <w:color w:val="000000" w:themeColor="text1"/>
                <w:szCs w:val="22"/>
                <w:lang w:val="en-US" w:eastAsia="zh-CN"/>
              </w:rPr>
              <w:t>20</w:t>
            </w:r>
            <w:r>
              <w:rPr>
                <w:rFonts w:hint="eastAsia"/>
                <w:color w:val="000000" w:themeColor="text1"/>
                <w:szCs w:val="22"/>
              </w:rPr>
              <w:t>日“营销人员工作监督表”，</w:t>
            </w:r>
            <w:r>
              <w:rPr>
                <w:rFonts w:hint="eastAsia"/>
                <w:color w:val="000000" w:themeColor="text1"/>
                <w:szCs w:val="22"/>
                <w:lang w:val="en-US" w:eastAsia="zh-CN"/>
              </w:rPr>
              <w:t>对王佳</w:t>
            </w:r>
            <w:r>
              <w:rPr>
                <w:rFonts w:hint="eastAsia"/>
                <w:color w:val="000000" w:themeColor="text1"/>
                <w:szCs w:val="22"/>
              </w:rPr>
              <w:t>进行的工作监督，项目包括对价格了解情况，对性能了解</w:t>
            </w:r>
            <w:r>
              <w:rPr>
                <w:rFonts w:hint="eastAsia" w:ascii="Times New Roman" w:hAnsi="Times New Roman" w:eastAsia="宋体" w:cs="Times New Roman"/>
                <w:color w:val="000000" w:themeColor="text1"/>
                <w:szCs w:val="22"/>
              </w:rPr>
              <w:t>情况，接听电话礼仪，对文件了解情况等，满分100分，检查评分：分别9</w:t>
            </w:r>
            <w:r>
              <w:rPr>
                <w:rFonts w:hint="eastAsia" w:ascii="Times New Roman" w:hAnsi="Times New Roman" w:eastAsia="宋体" w:cs="Times New Roman"/>
                <w:color w:val="000000" w:themeColor="text1"/>
                <w:szCs w:val="22"/>
                <w:lang w:val="en-US" w:eastAsia="zh-CN"/>
              </w:rPr>
              <w:t>7</w:t>
            </w:r>
            <w:r>
              <w:rPr>
                <w:rFonts w:hint="eastAsia" w:ascii="Times New Roman" w:hAnsi="Times New Roman" w:eastAsia="宋体" w:cs="Times New Roman"/>
                <w:color w:val="000000" w:themeColor="text1"/>
                <w:szCs w:val="22"/>
              </w:rPr>
              <w:t>分，检查人：</w:t>
            </w:r>
            <w:r>
              <w:rPr>
                <w:rFonts w:hint="eastAsia" w:cs="Times New Roman"/>
                <w:color w:val="000000" w:themeColor="text1"/>
                <w:szCs w:val="22"/>
                <w:lang w:eastAsia="zh-CN"/>
              </w:rPr>
              <w:t>潘少军</w:t>
            </w:r>
            <w:r>
              <w:rPr>
                <w:rFonts w:hint="eastAsia" w:ascii="Times New Roman" w:hAnsi="Times New Roman" w:eastAsia="宋体" w:cs="Times New Roman"/>
                <w:color w:val="000000" w:themeColor="text1"/>
                <w:szCs w:val="22"/>
              </w:rPr>
              <w:t>。</w:t>
            </w:r>
          </w:p>
          <w:p>
            <w:pPr>
              <w:tabs>
                <w:tab w:val="left" w:pos="6597"/>
              </w:tabs>
              <w:spacing w:line="360" w:lineRule="auto"/>
              <w:ind w:firstLine="420" w:firstLineChars="200"/>
              <w:rPr>
                <w:rFonts w:hint="default" w:ascii="Times New Roman" w:hAnsi="Times New Roman" w:eastAsia="宋体" w:cs="Times New Roman"/>
                <w:color w:val="000000" w:themeColor="text1"/>
                <w:szCs w:val="22"/>
                <w:lang w:val="en-US" w:eastAsia="zh-CN"/>
              </w:rPr>
            </w:pPr>
            <w:r>
              <w:rPr>
                <w:rFonts w:hint="eastAsia" w:ascii="Times New Roman" w:hAnsi="Times New Roman" w:eastAsia="宋体" w:cs="Times New Roman"/>
                <w:color w:val="000000" w:themeColor="text1"/>
                <w:szCs w:val="22"/>
                <w:lang w:val="en-US" w:eastAsia="zh-CN"/>
              </w:rPr>
              <w:t>9</w:t>
            </w:r>
            <w:r>
              <w:rPr>
                <w:rFonts w:hint="eastAsia" w:ascii="Times New Roman" w:hAnsi="Times New Roman" w:eastAsia="宋体" w:cs="Times New Roman"/>
                <w:color w:val="000000" w:themeColor="text1"/>
                <w:szCs w:val="22"/>
              </w:rPr>
              <w:t>．所有的产品都必须经检验合格后方可入库和交付。市场部负责产品的检验和放行，产品经过检验合格后方可放行和交付，市场部负责产品交付和交付后活动的实施，并负责联系售后服务。发货前由市场部开具发货单(一式三份,留存一联、财务一联、客户一联)，随货同行有产品合格证，公司负责联系货运交付到指定地点，经查出库、交付手续齐全。售后服务由市场部业务员按照售后服务规范执行，去客户现场培训和演示产品的使用方法和注意事项。</w:t>
            </w:r>
          </w:p>
          <w:p>
            <w:pPr>
              <w:tabs>
                <w:tab w:val="left" w:pos="6597"/>
              </w:tabs>
              <w:spacing w:line="360" w:lineRule="auto"/>
              <w:ind w:firstLine="420" w:firstLineChars="200"/>
              <w:rPr>
                <w:rFonts w:hint="eastAsia" w:ascii="楷体" w:hAnsi="楷体" w:eastAsia="楷体" w:cs="楷体"/>
                <w:kern w:val="0"/>
                <w:sz w:val="24"/>
                <w:szCs w:val="24"/>
                <w:lang w:val="en-US" w:eastAsia="zh-CN" w:bidi="ar-SA"/>
              </w:rPr>
            </w:pPr>
            <w:r>
              <w:rPr>
                <w:rFonts w:hint="eastAsia" w:ascii="Times New Roman" w:hAnsi="Times New Roman" w:eastAsia="宋体" w:cs="Times New Roman"/>
                <w:color w:val="000000" w:themeColor="text1"/>
                <w:szCs w:val="22"/>
              </w:rPr>
              <w:t>组织销售服务过程的控制符合标准规定的要求。</w:t>
            </w:r>
          </w:p>
        </w:tc>
        <w:tc>
          <w:tcPr>
            <w:tcW w:w="1302" w:type="dxa"/>
            <w:vAlign w:val="top"/>
          </w:tcPr>
          <w:p>
            <w:pPr>
              <w:pStyle w:val="3"/>
              <w:ind w:left="480" w:leftChars="0"/>
              <w:rPr>
                <w:rFonts w:hint="default" w:ascii="Times New Roman" w:hAnsi="Times New Roman" w:eastAsia="宋体" w:cs="Times New Roman"/>
                <w:kern w:val="0"/>
                <w:sz w:val="21"/>
                <w:lang w:val="en-US" w:eastAsia="zh-CN" w:bidi="ar-SA"/>
              </w:rPr>
            </w:pPr>
            <w:r>
              <w:rPr>
                <w:rFonts w:hint="eastAsia" w:cs="Times New Roman"/>
                <w:kern w:val="0"/>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47" w:type="dxa"/>
          </w:tcPr>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绩效 总则</w:t>
            </w:r>
          </w:p>
          <w:p>
            <w:pPr>
              <w:spacing w:line="360" w:lineRule="auto"/>
              <w:ind w:firstLine="420" w:firstLineChars="200"/>
              <w:rPr>
                <w:rFonts w:hint="eastAsia" w:ascii="宋体" w:hAnsi="宋体" w:eastAsia="宋体" w:cs="宋体"/>
                <w:szCs w:val="21"/>
                <w:lang w:eastAsia="zh-CN"/>
              </w:rPr>
            </w:pPr>
          </w:p>
        </w:tc>
        <w:tc>
          <w:tcPr>
            <w:tcW w:w="1187" w:type="dxa"/>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Q</w:t>
            </w:r>
            <w:r>
              <w:rPr>
                <w:rFonts w:hint="eastAsia" w:ascii="宋体" w:hAnsi="宋体" w:cs="宋体"/>
                <w:szCs w:val="21"/>
                <w:lang w:val="en-US" w:eastAsia="zh-CN"/>
              </w:rPr>
              <w:t>EO</w:t>
            </w:r>
            <w:r>
              <w:rPr>
                <w:rFonts w:hint="eastAsia" w:ascii="宋体" w:hAnsi="宋体" w:eastAsia="宋体" w:cs="宋体"/>
                <w:szCs w:val="21"/>
                <w:lang w:eastAsia="zh-CN"/>
              </w:rPr>
              <w:t>9.1.1</w:t>
            </w:r>
          </w:p>
          <w:p>
            <w:pPr>
              <w:spacing w:line="360" w:lineRule="auto"/>
              <w:ind w:firstLine="420" w:firstLineChars="200"/>
              <w:rPr>
                <w:rFonts w:hint="eastAsia" w:ascii="宋体" w:hAnsi="宋体" w:eastAsia="宋体" w:cs="宋体"/>
                <w:szCs w:val="21"/>
                <w:lang w:eastAsia="zh-CN"/>
              </w:rPr>
            </w:pPr>
          </w:p>
        </w:tc>
        <w:tc>
          <w:tcPr>
            <w:tcW w:w="10373"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年度的目标完成情况，公司及各部门的管理目标均能完成。</w:t>
            </w:r>
          </w:p>
        </w:tc>
        <w:tc>
          <w:tcPr>
            <w:tcW w:w="130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47" w:type="dxa"/>
            <w:vAlign w:val="center"/>
          </w:tcPr>
          <w:p>
            <w:pPr>
              <w:rPr>
                <w:rFonts w:hint="eastAsia" w:ascii="楷体" w:hAnsi="楷体" w:eastAsia="楷体" w:cs="Times New Roman"/>
                <w:kern w:val="2"/>
                <w:sz w:val="24"/>
                <w:szCs w:val="24"/>
                <w:lang w:val="en-US" w:eastAsia="zh-CN" w:bidi="ar-SA"/>
              </w:rPr>
            </w:pPr>
            <w:r>
              <w:rPr>
                <w:rFonts w:hint="eastAsia" w:ascii="宋体" w:hAnsi="宋体" w:cs="Arial"/>
                <w:szCs w:val="21"/>
              </w:rPr>
              <w:t>客户满意</w:t>
            </w:r>
          </w:p>
        </w:tc>
        <w:tc>
          <w:tcPr>
            <w:tcW w:w="1187" w:type="dxa"/>
            <w:vAlign w:val="top"/>
          </w:tcPr>
          <w:p>
            <w:pPr>
              <w:spacing w:line="360" w:lineRule="auto"/>
              <w:rPr>
                <w:rFonts w:ascii="宋体" w:hAnsi="宋体" w:cs="Arial"/>
                <w:szCs w:val="21"/>
              </w:rPr>
            </w:pPr>
          </w:p>
          <w:p>
            <w:pPr>
              <w:pStyle w:val="2"/>
            </w:pPr>
          </w:p>
          <w:p>
            <w:pPr>
              <w:spacing w:line="360" w:lineRule="auto"/>
              <w:rPr>
                <w:rFonts w:hint="eastAsia" w:ascii="宋体" w:hAnsi="宋体" w:eastAsia="宋体" w:cs="Arial"/>
                <w:kern w:val="2"/>
                <w:sz w:val="21"/>
                <w:szCs w:val="21"/>
                <w:lang w:val="en-US" w:eastAsia="zh-CN" w:bidi="ar-SA"/>
              </w:rPr>
            </w:pPr>
            <w:r>
              <w:rPr>
                <w:rFonts w:hint="eastAsia" w:ascii="宋体" w:hAnsi="宋体" w:cs="Arial"/>
                <w:szCs w:val="21"/>
              </w:rPr>
              <w:t xml:space="preserve">Q9.1.2 </w:t>
            </w:r>
          </w:p>
        </w:tc>
        <w:tc>
          <w:tcPr>
            <w:tcW w:w="10373" w:type="dxa"/>
            <w:vAlign w:val="top"/>
          </w:tcPr>
          <w:p>
            <w:pPr>
              <w:tabs>
                <w:tab w:val="left" w:pos="6597"/>
              </w:tabs>
              <w:spacing w:line="360" w:lineRule="auto"/>
              <w:ind w:firstLine="420" w:firstLineChars="200"/>
              <w:rPr>
                <w:rFonts w:ascii="宋体" w:hAnsi="宋体"/>
                <w:szCs w:val="21"/>
              </w:rPr>
            </w:pPr>
            <w:r>
              <w:rPr>
                <w:rFonts w:hint="eastAsia" w:ascii="宋体" w:hAnsi="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szCs w:val="21"/>
              </w:rPr>
            </w:pPr>
            <w:r>
              <w:rPr>
                <w:rFonts w:hint="eastAsia" w:ascii="宋体" w:hAnsi="宋体"/>
                <w:szCs w:val="21"/>
              </w:rPr>
              <w:t>提供《满意程度调查表》，调查包含：产品质量、价格、交货发货时间、服务态度、售后服务、对投诉的处理等6个方面，满意程度分为很满意、一般、不满意等三个档次。被调查客户包括：</w:t>
            </w:r>
            <w:r>
              <w:rPr>
                <w:rFonts w:hint="eastAsia"/>
                <w:lang w:val="en-US" w:eastAsia="zh-CN"/>
              </w:rPr>
              <w:t>西安洛科电子科技股份有限公司</w:t>
            </w:r>
            <w:r>
              <w:rPr>
                <w:rFonts w:hint="eastAsia" w:ascii="宋体" w:hAnsi="宋体"/>
                <w:szCs w:val="21"/>
              </w:rPr>
              <w:t>客户，从提供的调查表来看，客户对组织评价均为“很满意”、“满意”。</w:t>
            </w:r>
          </w:p>
          <w:p>
            <w:pPr>
              <w:tabs>
                <w:tab w:val="left" w:pos="6597"/>
              </w:tabs>
              <w:spacing w:line="360" w:lineRule="auto"/>
              <w:ind w:firstLine="420" w:firstLineChars="200"/>
              <w:rPr>
                <w:rFonts w:ascii="宋体" w:hAnsi="宋体"/>
                <w:szCs w:val="21"/>
              </w:rPr>
            </w:pPr>
            <w:r>
              <w:rPr>
                <w:rFonts w:hint="eastAsia" w:ascii="宋体" w:hAnsi="宋体"/>
                <w:szCs w:val="21"/>
              </w:rPr>
              <w:t>查见202</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22</w:t>
            </w:r>
            <w:r>
              <w:rPr>
                <w:rFonts w:hint="eastAsia" w:ascii="宋体" w:hAnsi="宋体"/>
                <w:szCs w:val="21"/>
              </w:rPr>
              <w:t>《顾客满意度数据分析报告》。对顾客满意度指标完成情况、顾客建议改进方向等予以分析汇总，经评价测算客户满意度得分9</w:t>
            </w:r>
            <w:r>
              <w:rPr>
                <w:rFonts w:hint="eastAsia" w:ascii="宋体" w:hAnsi="宋体"/>
                <w:szCs w:val="21"/>
                <w:lang w:val="en-US" w:eastAsia="zh-CN"/>
              </w:rPr>
              <w:t>2%</w:t>
            </w:r>
            <w:r>
              <w:rPr>
                <w:rFonts w:hint="eastAsia" w:ascii="宋体" w:hAnsi="宋体"/>
                <w:szCs w:val="21"/>
              </w:rPr>
              <w:t>。</w:t>
            </w:r>
          </w:p>
          <w:p>
            <w:pPr>
              <w:tabs>
                <w:tab w:val="left" w:pos="6597"/>
              </w:tabs>
              <w:spacing w:line="360" w:lineRule="auto"/>
              <w:ind w:firstLine="420" w:firstLineChars="200"/>
              <w:rPr>
                <w:rFonts w:hint="eastAsia" w:ascii="Times New Roman" w:hAnsi="Times New Roman" w:eastAsia="宋体" w:cs="Times New Roman"/>
                <w:kern w:val="2"/>
                <w:sz w:val="24"/>
                <w:lang w:val="en-US" w:eastAsia="zh-CN" w:bidi="ar-SA"/>
              </w:rPr>
            </w:pPr>
            <w:r>
              <w:rPr>
                <w:rFonts w:hint="eastAsia" w:ascii="宋体" w:hAnsi="宋体"/>
                <w:szCs w:val="21"/>
              </w:rPr>
              <w:t>企业对顾客满意度的调查、分析利用进行了策划并实施，基本符合标准条款的要求。</w:t>
            </w:r>
          </w:p>
        </w:tc>
        <w:tc>
          <w:tcPr>
            <w:tcW w:w="1302" w:type="dxa"/>
          </w:tcPr>
          <w:p>
            <w:pPr>
              <w:spacing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34F46D6"/>
    <w:rsid w:val="04C76283"/>
    <w:rsid w:val="06935222"/>
    <w:rsid w:val="069D5B5D"/>
    <w:rsid w:val="09F86F86"/>
    <w:rsid w:val="0F1D1B2D"/>
    <w:rsid w:val="12B11DE0"/>
    <w:rsid w:val="12E64FF5"/>
    <w:rsid w:val="17FA57B5"/>
    <w:rsid w:val="18581E27"/>
    <w:rsid w:val="1AAA2986"/>
    <w:rsid w:val="1C1F3F23"/>
    <w:rsid w:val="28F434A6"/>
    <w:rsid w:val="2A024C96"/>
    <w:rsid w:val="2C063C1D"/>
    <w:rsid w:val="44BB002C"/>
    <w:rsid w:val="44E03839"/>
    <w:rsid w:val="457810EA"/>
    <w:rsid w:val="45B44292"/>
    <w:rsid w:val="45D17124"/>
    <w:rsid w:val="475610F1"/>
    <w:rsid w:val="48181D3F"/>
    <w:rsid w:val="49BB5BEF"/>
    <w:rsid w:val="4ECC200F"/>
    <w:rsid w:val="4EE43892"/>
    <w:rsid w:val="4F204746"/>
    <w:rsid w:val="5008118B"/>
    <w:rsid w:val="52E91E1A"/>
    <w:rsid w:val="52F77B3F"/>
    <w:rsid w:val="57462870"/>
    <w:rsid w:val="585B7D5D"/>
    <w:rsid w:val="58AB0BA8"/>
    <w:rsid w:val="5A011185"/>
    <w:rsid w:val="5A144EA7"/>
    <w:rsid w:val="5DA64068"/>
    <w:rsid w:val="62E01DCA"/>
    <w:rsid w:val="65140FB5"/>
    <w:rsid w:val="65817895"/>
    <w:rsid w:val="66DC3872"/>
    <w:rsid w:val="73D74B24"/>
    <w:rsid w:val="7793320B"/>
    <w:rsid w:val="77BE1032"/>
    <w:rsid w:val="78D57BE7"/>
    <w:rsid w:val="78F912C0"/>
    <w:rsid w:val="7B8053B0"/>
    <w:rsid w:val="7DD943F1"/>
    <w:rsid w:val="7F7D6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99"/>
    <w:pPr>
      <w:spacing w:before="25" w:after="25"/>
    </w:pPr>
    <w:rPr>
      <w:bCs/>
      <w:spacing w:val="10"/>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8803</Words>
  <Characters>9557</Characters>
  <Lines>1</Lines>
  <Paragraphs>1</Paragraphs>
  <TotalTime>2</TotalTime>
  <ScaleCrop>false</ScaleCrop>
  <LinksUpToDate>false</LinksUpToDate>
  <CharactersWithSpaces>9729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2023-03-17T01:39:32Z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4EAE2AB5F54347A9A860C363EC6AC4A3</vt:lpwstr>
  </property>
  <property fmtid="{D5CDD505-2E9C-101B-9397-08002B2CF9AE}" pid="3" name="KSOProductBuildVer">
    <vt:lpwstr>2052-11.1.0.12980</vt:lpwstr>
  </property>
</Properties>
</file>