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胡名福</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万林芳</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ascii="楷体" w:hAnsi="楷体" w:eastAsia="楷体"/>
                <w:sz w:val="24"/>
                <w:szCs w:val="24"/>
              </w:rPr>
              <w:t>20</w:t>
            </w:r>
            <w:r>
              <w:rPr>
                <w:rFonts w:hint="eastAsia" w:ascii="楷体" w:hAnsi="楷体" w:eastAsia="楷体"/>
                <w:sz w:val="24"/>
                <w:szCs w:val="24"/>
                <w:lang w:val="en-US" w:eastAsia="zh-CN"/>
              </w:rPr>
              <w:t>23.3.14</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tabs>
                <w:tab w:val="left" w:pos="709"/>
              </w:tabs>
              <w:ind w:right="57"/>
              <w:jc w:val="left"/>
              <w:rPr>
                <w:rFonts w:hint="eastAsia" w:ascii="楷体" w:hAnsi="楷体" w:eastAsia="楷体" w:cs="楷体"/>
              </w:rPr>
            </w:pPr>
            <w:r>
              <w:rPr>
                <w:rFonts w:hint="eastAsia" w:ascii="楷体" w:hAnsi="楷体" w:eastAsia="楷体" w:cs="楷体"/>
                <w:szCs w:val="21"/>
              </w:rPr>
              <w:t>审核条款：</w:t>
            </w:r>
            <w:r>
              <w:rPr>
                <w:rFonts w:hint="eastAsia" w:ascii="楷体" w:hAnsi="楷体" w:eastAsia="楷体" w:cs="楷体"/>
                <w:sz w:val="21"/>
                <w:szCs w:val="21"/>
              </w:rPr>
              <w:t>QMS：4.1/ 4.2/ 4.3/ 4.4 /5.1/5.2/5.3/6.1/6.2/</w:t>
            </w:r>
            <w:r>
              <w:rPr>
                <w:rFonts w:hint="eastAsia" w:ascii="楷体" w:hAnsi="楷体" w:eastAsia="楷体" w:cs="楷体"/>
                <w:sz w:val="21"/>
                <w:szCs w:val="21"/>
                <w:lang w:val="en-US" w:eastAsia="zh-CN"/>
              </w:rPr>
              <w:t>6.3/</w:t>
            </w:r>
            <w:r>
              <w:rPr>
                <w:rFonts w:hint="eastAsia" w:ascii="楷体" w:hAnsi="楷体" w:eastAsia="楷体" w:cs="楷体"/>
                <w:sz w:val="21"/>
                <w:szCs w:val="21"/>
              </w:rPr>
              <w:t>7.1.1//7.4/9.3/10.1/10.3</w:t>
            </w:r>
          </w:p>
          <w:p>
            <w:pPr>
              <w:tabs>
                <w:tab w:val="left" w:pos="709"/>
              </w:tabs>
              <w:ind w:right="57"/>
              <w:jc w:val="left"/>
              <w:rPr>
                <w:rFonts w:hint="eastAsia" w:ascii="楷体" w:hAnsi="楷体" w:eastAsia="楷体" w:cs="楷体"/>
                <w:sz w:val="21"/>
                <w:szCs w:val="21"/>
              </w:rPr>
            </w:pPr>
            <w:r>
              <w:rPr>
                <w:rFonts w:hint="eastAsia" w:ascii="楷体" w:hAnsi="楷体" w:eastAsia="楷体" w:cs="楷体"/>
                <w:sz w:val="21"/>
                <w:szCs w:val="21"/>
              </w:rPr>
              <w:t xml:space="preserve">EMS：4.1/ 4.2/ 4.3/ 4.4 /5.1/5.2/5.3/6.1/6.2/7.1/7.4/9.3/10.1/10.3 </w:t>
            </w:r>
            <w:bookmarkStart w:id="2" w:name="_GoBack"/>
            <w:bookmarkEnd w:id="2"/>
          </w:p>
          <w:p>
            <w:pPr>
              <w:rPr>
                <w:rFonts w:ascii="楷体" w:hAnsi="楷体" w:eastAsia="楷体"/>
                <w:szCs w:val="21"/>
              </w:rPr>
            </w:pPr>
            <w:r>
              <w:rPr>
                <w:rFonts w:hint="eastAsia" w:ascii="楷体" w:hAnsi="楷体" w:eastAsia="楷体" w:cs="楷体"/>
                <w:sz w:val="21"/>
                <w:szCs w:val="21"/>
              </w:rPr>
              <w:t>OHS：4.1/ 4.2/ 4.3/ 4.4 /5.1/5.2/5.3/6.1.1/6.2/7.1/7.4/9.3/10.1/10.3</w:t>
            </w:r>
            <w:r>
              <w:rPr>
                <w:rFonts w:hint="eastAsia" w:ascii="楷体" w:hAnsi="楷体" w:eastAsia="楷体" w:cs="楷体"/>
                <w:spacing w:val="-6"/>
                <w:sz w:val="21"/>
                <w:szCs w:val="21"/>
              </w:rPr>
              <w:t>国家/地方监督抽查情况；顾客满意、相关方投诉及处理情况；</w:t>
            </w:r>
            <w:r>
              <w:rPr>
                <w:rFonts w:hint="eastAsia" w:ascii="楷体" w:hAnsi="楷体" w:eastAsia="楷体" w:cs="楷体"/>
                <w:sz w:val="21"/>
                <w:szCs w:val="21"/>
              </w:rPr>
              <w:t>标准/规范/法规的执行情况、一阶段审核不符合项的验证、投诉或事故、监督抽查情况；</w:t>
            </w:r>
            <w:r>
              <w:rPr>
                <w:rFonts w:hint="eastAsia" w:ascii="楷体" w:hAnsi="楷体" w:eastAsia="楷体" w:cs="楷体"/>
                <w:spacing w:val="-6"/>
                <w:sz w:val="21"/>
                <w:szCs w:val="21"/>
              </w:rPr>
              <w:t>验证企业相关资质证明的有效性；</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val="en-US" w:eastAsia="zh-CN"/>
              </w:rPr>
              <w:t>胡名福，</w:t>
            </w:r>
            <w:r>
              <w:rPr>
                <w:rFonts w:hint="eastAsia" w:ascii="楷体" w:hAnsi="楷体" w:eastAsia="楷体"/>
                <w:sz w:val="24"/>
                <w:szCs w:val="24"/>
              </w:rPr>
              <w:t>管代</w:t>
            </w:r>
            <w:r>
              <w:rPr>
                <w:rFonts w:hint="eastAsia" w:ascii="楷体" w:hAnsi="楷体" w:eastAsia="楷体"/>
                <w:sz w:val="24"/>
                <w:szCs w:val="24"/>
                <w:lang w:val="en-US" w:eastAsia="zh-CN"/>
              </w:rPr>
              <w:t>万林芳</w:t>
            </w:r>
            <w:r>
              <w:rPr>
                <w:rFonts w:hint="eastAsia" w:ascii="楷体" w:hAnsi="楷体" w:eastAsia="楷体"/>
                <w:sz w:val="24"/>
                <w:szCs w:val="24"/>
              </w:rPr>
              <w:t>，</w:t>
            </w:r>
          </w:p>
          <w:p>
            <w:pPr>
              <w:spacing w:line="360" w:lineRule="auto"/>
              <w:ind w:firstLine="480" w:firstLineChars="200"/>
              <w:rPr>
                <w:rFonts w:ascii="楷体" w:hAnsi="楷体" w:eastAsia="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008年9月4日，法人代表</w:t>
            </w:r>
            <w:r>
              <w:rPr>
                <w:rFonts w:hint="eastAsia" w:ascii="楷体" w:hAnsi="楷体" w:eastAsia="楷体"/>
                <w:sz w:val="24"/>
                <w:szCs w:val="24"/>
                <w:lang w:val="en-US" w:eastAsia="zh-CN"/>
              </w:rPr>
              <w:t>伍常海</w:t>
            </w:r>
            <w:r>
              <w:rPr>
                <w:rFonts w:hint="eastAsia" w:ascii="楷体" w:hAnsi="楷体" w:eastAsia="楷体"/>
                <w:sz w:val="24"/>
                <w:szCs w:val="24"/>
              </w:rPr>
              <w:t>，注册地址：江西省南昌市南昌县莲塔公路888号武阳创业园</w:t>
            </w:r>
            <w:r>
              <w:rPr>
                <w:rFonts w:hint="eastAsia" w:ascii="楷体" w:hAnsi="楷体" w:eastAsia="楷体"/>
                <w:color w:val="000000"/>
                <w:sz w:val="24"/>
                <w:szCs w:val="24"/>
              </w:rPr>
              <w:t>。</w:t>
            </w:r>
            <w:r>
              <w:rPr>
                <w:rFonts w:hint="eastAsia" w:ascii="楷体" w:hAnsi="楷体" w:eastAsia="楷体"/>
                <w:spacing w:val="20"/>
                <w:sz w:val="24"/>
                <w:szCs w:val="24"/>
                <w:lang w:val="de-DE"/>
              </w:rPr>
              <w:t>经营范围包括建材、商品混凝土生产及销售。</w:t>
            </w:r>
          </w:p>
          <w:p>
            <w:pPr>
              <w:spacing w:line="360" w:lineRule="auto"/>
              <w:ind w:firstLine="560" w:firstLineChars="200"/>
              <w:rPr>
                <w:rFonts w:ascii="楷体" w:hAnsi="楷体" w:eastAsia="楷体"/>
                <w:spacing w:val="20"/>
                <w:sz w:val="24"/>
                <w:szCs w:val="24"/>
                <w:lang w:val="de-DE"/>
              </w:rPr>
            </w:pPr>
            <w:r>
              <w:rPr>
                <w:rFonts w:hint="eastAsia" w:ascii="楷体" w:hAnsi="楷体" w:eastAsia="楷体"/>
                <w:spacing w:val="20"/>
                <w:sz w:val="24"/>
                <w:szCs w:val="24"/>
                <w:lang w:val="de-DE"/>
              </w:rPr>
              <w:t>查到了企业的营业执照，</w:t>
            </w:r>
          </w:p>
          <w:p>
            <w:pPr>
              <w:spacing w:line="360" w:lineRule="auto"/>
              <w:ind w:firstLine="560" w:firstLineChars="200"/>
              <w:rPr>
                <w:rFonts w:ascii="楷体" w:hAnsi="楷体" w:eastAsia="楷体"/>
                <w:spacing w:val="20"/>
                <w:sz w:val="24"/>
                <w:szCs w:val="24"/>
                <w:lang w:val="de-DE"/>
              </w:rPr>
            </w:pPr>
            <w:r>
              <w:rPr>
                <w:rFonts w:hint="eastAsia" w:ascii="楷体" w:hAnsi="楷体" w:eastAsia="楷体"/>
                <w:spacing w:val="20"/>
                <w:sz w:val="24"/>
                <w:szCs w:val="24"/>
                <w:lang w:val="de-DE"/>
              </w:rPr>
              <w:t>查到了建筑业企业资质证书有效期</w:t>
            </w:r>
            <w:r>
              <w:rPr>
                <w:rFonts w:hint="eastAsia" w:ascii="楷体" w:hAnsi="楷体" w:eastAsia="楷体" w:cs="楷体"/>
                <w:color w:val="000000"/>
                <w:sz w:val="24"/>
                <w:szCs w:val="24"/>
              </w:rPr>
              <w:t>202</w:t>
            </w:r>
            <w:r>
              <w:rPr>
                <w:rFonts w:hint="eastAsia" w:ascii="楷体" w:hAnsi="楷体" w:eastAsia="楷体" w:cs="楷体"/>
                <w:color w:val="000000"/>
                <w:sz w:val="24"/>
                <w:szCs w:val="24"/>
                <w:lang w:val="en-US" w:eastAsia="zh-CN"/>
              </w:rPr>
              <w:t>3</w:t>
            </w:r>
            <w:r>
              <w:rPr>
                <w:rFonts w:hint="eastAsia" w:ascii="楷体" w:hAnsi="楷体" w:eastAsia="楷体" w:cs="楷体"/>
                <w:color w:val="000000"/>
                <w:sz w:val="24"/>
                <w:szCs w:val="24"/>
              </w:rPr>
              <w:t>年</w:t>
            </w:r>
            <w:r>
              <w:rPr>
                <w:rFonts w:hint="eastAsia" w:ascii="楷体" w:hAnsi="楷体" w:eastAsia="楷体" w:cs="楷体"/>
                <w:color w:val="000000"/>
                <w:sz w:val="24"/>
                <w:szCs w:val="24"/>
                <w:lang w:val="en-US" w:eastAsia="zh-CN"/>
              </w:rPr>
              <w:t>12</w:t>
            </w:r>
            <w:r>
              <w:rPr>
                <w:rFonts w:hint="eastAsia" w:ascii="楷体" w:hAnsi="楷体" w:eastAsia="楷体" w:cs="楷体"/>
                <w:color w:val="000000"/>
                <w:sz w:val="24"/>
                <w:szCs w:val="24"/>
              </w:rPr>
              <w:t>月</w:t>
            </w:r>
            <w:r>
              <w:rPr>
                <w:rFonts w:hint="eastAsia" w:ascii="楷体" w:hAnsi="楷体" w:eastAsia="楷体" w:cs="楷体"/>
                <w:color w:val="000000"/>
                <w:sz w:val="24"/>
                <w:szCs w:val="24"/>
                <w:lang w:val="en-US" w:eastAsia="zh-CN"/>
              </w:rPr>
              <w:t>31</w:t>
            </w:r>
            <w:r>
              <w:rPr>
                <w:rFonts w:hint="eastAsia" w:ascii="楷体" w:hAnsi="楷体" w:eastAsia="楷体" w:cs="楷体"/>
                <w:color w:val="000000"/>
                <w:sz w:val="24"/>
                <w:szCs w:val="24"/>
              </w:rPr>
              <w:t>日至长期</w:t>
            </w:r>
            <w:r>
              <w:rPr>
                <w:rFonts w:hint="eastAsia" w:ascii="楷体" w:hAnsi="楷体" w:eastAsia="楷体" w:cs="楷体"/>
                <w:spacing w:val="20"/>
                <w:sz w:val="24"/>
                <w:szCs w:val="24"/>
                <w:lang w:val="de-DE"/>
              </w:rPr>
              <w:t>。</w:t>
            </w:r>
          </w:p>
          <w:p>
            <w:pPr>
              <w:spacing w:line="360" w:lineRule="auto"/>
              <w:ind w:firstLine="560" w:firstLineChars="200"/>
              <w:rPr>
                <w:rFonts w:ascii="楷体" w:hAnsi="楷体" w:eastAsia="楷体"/>
                <w:sz w:val="24"/>
                <w:szCs w:val="24"/>
              </w:rPr>
            </w:pPr>
            <w:r>
              <w:rPr>
                <w:rFonts w:hint="eastAsia" w:ascii="楷体" w:hAnsi="楷体" w:eastAsia="楷体"/>
                <w:spacing w:val="20"/>
                <w:sz w:val="24"/>
                <w:szCs w:val="24"/>
                <w:lang w:val="de-DE"/>
              </w:rPr>
              <w:t>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万林芳</w:t>
            </w:r>
            <w:r>
              <w:rPr>
                <w:rFonts w:hint="eastAsia" w:ascii="楷体" w:hAnsi="楷体" w:eastAsia="楷体"/>
                <w:sz w:val="24"/>
                <w:szCs w:val="24"/>
              </w:rPr>
              <w:t>介绍，公司管理体系运行已满6个多月。对部门及其职责进行了规定，设有行政部、采购部、销售部、生产部，编制了岗位职责汇编，以文件上发的形式沟通各部门的职责及各部门之间工作的联系。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胡名福</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确保本公司三体系所需的过程得到建立、实施和保持；在全公司范围内促进满足顾客要求意识、环境保护意识、职业健康安全意识的形成和提高；就体系有关事宜对外联系。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总经理主持建立了质量环境职业健康安全管理体系，对管理体系的运行和保持进行了适当的授权，提供了必需的资源，能履行其管理承诺。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w:t>
            </w:r>
            <w:r>
              <w:rPr>
                <w:rFonts w:hint="eastAsia" w:ascii="楷体" w:hAnsi="楷体" w:eastAsia="楷体"/>
                <w:sz w:val="24"/>
                <w:szCs w:val="24"/>
                <w:lang w:val="en-US" w:eastAsia="zh-CN"/>
              </w:rPr>
              <w:t>22</w:t>
            </w:r>
            <w:r>
              <w:rPr>
                <w:rFonts w:hint="eastAsia" w:ascii="楷体" w:hAnsi="楷体" w:eastAsia="楷体"/>
                <w:sz w:val="24"/>
                <w:szCs w:val="24"/>
              </w:rPr>
              <w:t>年</w:t>
            </w:r>
            <w:r>
              <w:rPr>
                <w:rFonts w:hint="eastAsia" w:ascii="楷体" w:hAnsi="楷体" w:eastAsia="楷体"/>
                <w:sz w:val="24"/>
                <w:szCs w:val="24"/>
                <w:lang w:val="en-US" w:eastAsia="zh-CN"/>
              </w:rPr>
              <w:t>6</w:t>
            </w:r>
            <w:r>
              <w:rPr>
                <w:rFonts w:hint="eastAsia" w:ascii="楷体" w:hAnsi="楷体" w:eastAsia="楷体"/>
                <w:sz w:val="24"/>
                <w:szCs w:val="24"/>
              </w:rPr>
              <w:t>月开始运行三体系，组织了内审员培训，识别了生产的过程及其相互关系，企业提供编号：</w:t>
            </w:r>
            <w:r>
              <w:rPr>
                <w:rFonts w:ascii="楷体" w:hAnsi="楷体" w:eastAsia="楷体"/>
                <w:sz w:val="24"/>
                <w:szCs w:val="24"/>
              </w:rPr>
              <w:t>ZJJC-SC-20</w:t>
            </w:r>
            <w:r>
              <w:rPr>
                <w:rFonts w:hint="eastAsia" w:ascii="楷体" w:hAnsi="楷体" w:eastAsia="楷体"/>
                <w:sz w:val="24"/>
                <w:szCs w:val="24"/>
                <w:lang w:val="en-US" w:eastAsia="zh-CN"/>
              </w:rPr>
              <w:t>22</w:t>
            </w:r>
            <w:r>
              <w:rPr>
                <w:rFonts w:hint="eastAsia" w:ascii="楷体" w:hAnsi="楷体" w:eastAsia="楷体"/>
                <w:sz w:val="24"/>
                <w:szCs w:val="24"/>
              </w:rPr>
              <w:t>《管理手册》，依据</w:t>
            </w:r>
            <w:r>
              <w:rPr>
                <w:rFonts w:ascii="楷体" w:hAnsi="楷体" w:eastAsia="楷体"/>
                <w:sz w:val="24"/>
                <w:szCs w:val="24"/>
              </w:rPr>
              <w:t>GB/T19001-2016/ISO9001:2015</w:t>
            </w:r>
            <w:r>
              <w:rPr>
                <w:rFonts w:hint="eastAsia" w:ascii="楷体" w:hAnsi="楷体" w:eastAsia="楷体"/>
                <w:sz w:val="24"/>
                <w:szCs w:val="24"/>
              </w:rPr>
              <w:t>、</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w:t>
            </w:r>
            <w:r>
              <w:rPr>
                <w:rFonts w:hint="eastAsia" w:ascii="楷体" w:hAnsi="楷体" w:eastAsia="楷体"/>
                <w:sz w:val="24"/>
                <w:szCs w:val="24"/>
                <w:lang w:val="en-US" w:eastAsia="zh-CN"/>
              </w:rPr>
              <w:t>22</w:t>
            </w:r>
            <w:r>
              <w:rPr>
                <w:rFonts w:ascii="楷体" w:hAnsi="楷体" w:eastAsia="楷体"/>
                <w:sz w:val="24"/>
                <w:szCs w:val="24"/>
              </w:rPr>
              <w:t>.</w:t>
            </w:r>
            <w:r>
              <w:rPr>
                <w:rFonts w:hint="eastAsia" w:ascii="楷体" w:hAnsi="楷体" w:eastAsia="楷体"/>
                <w:sz w:val="24"/>
                <w:szCs w:val="24"/>
                <w:lang w:val="en-US" w:eastAsia="zh-CN"/>
              </w:rPr>
              <w:t>6</w:t>
            </w:r>
            <w:r>
              <w:rPr>
                <w:rFonts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发布，</w:t>
            </w:r>
            <w:r>
              <w:rPr>
                <w:rFonts w:ascii="楷体" w:hAnsi="楷体" w:eastAsia="楷体"/>
                <w:sz w:val="24"/>
                <w:szCs w:val="24"/>
              </w:rPr>
              <w:t>20</w:t>
            </w:r>
            <w:r>
              <w:rPr>
                <w:rFonts w:hint="eastAsia" w:ascii="楷体" w:hAnsi="楷体" w:eastAsia="楷体"/>
                <w:sz w:val="24"/>
                <w:szCs w:val="24"/>
                <w:lang w:val="en-US" w:eastAsia="zh-CN"/>
              </w:rPr>
              <w:t>22</w:t>
            </w:r>
            <w:r>
              <w:rPr>
                <w:rFonts w:ascii="楷体" w:hAnsi="楷体" w:eastAsia="楷体"/>
                <w:sz w:val="24"/>
                <w:szCs w:val="24"/>
              </w:rPr>
              <w:t>.</w:t>
            </w:r>
            <w:r>
              <w:rPr>
                <w:rFonts w:hint="eastAsia" w:ascii="楷体" w:hAnsi="楷体" w:eastAsia="楷体"/>
                <w:sz w:val="24"/>
                <w:szCs w:val="24"/>
                <w:lang w:val="en-US" w:eastAsia="zh-CN"/>
              </w:rPr>
              <w:t>6</w:t>
            </w:r>
            <w:r>
              <w:rPr>
                <w:rFonts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实施；总经理</w:t>
            </w:r>
            <w:r>
              <w:rPr>
                <w:rFonts w:hint="eastAsia" w:ascii="楷体" w:hAnsi="楷体" w:eastAsia="楷体"/>
                <w:sz w:val="24"/>
                <w:szCs w:val="24"/>
                <w:lang w:val="en-US" w:eastAsia="zh-CN"/>
              </w:rPr>
              <w:t>胡名福</w:t>
            </w:r>
            <w:r>
              <w:rPr>
                <w:rFonts w:hint="eastAsia" w:ascii="楷体" w:hAnsi="楷体" w:eastAsia="楷体"/>
                <w:sz w:val="24"/>
                <w:szCs w:val="24"/>
              </w:rPr>
              <w:t>批准。任命管代：</w:t>
            </w:r>
            <w:r>
              <w:rPr>
                <w:rFonts w:hint="eastAsia" w:ascii="楷体" w:hAnsi="楷体" w:eastAsia="楷体"/>
                <w:sz w:val="24"/>
                <w:szCs w:val="24"/>
                <w:lang w:val="en-US" w:eastAsia="zh-CN"/>
              </w:rPr>
              <w:t>万林芳</w:t>
            </w:r>
            <w:r>
              <w:rPr>
                <w:rFonts w:hint="eastAsia" w:ascii="楷体" w:hAnsi="楷体" w:eastAsia="楷体"/>
                <w:sz w:val="24"/>
                <w:szCs w:val="24"/>
              </w:rPr>
              <w:t>；职业健康安全事务代表：</w:t>
            </w:r>
            <w:r>
              <w:rPr>
                <w:rFonts w:hint="eastAsia" w:ascii="楷体" w:hAnsi="楷体" w:eastAsia="楷体" w:cs="宋体"/>
                <w:color w:val="000000"/>
                <w:kern w:val="0"/>
                <w:sz w:val="24"/>
                <w:szCs w:val="24"/>
              </w:rPr>
              <w:t>胡艳青</w:t>
            </w:r>
            <w:r>
              <w:rPr>
                <w:rFonts w:hint="eastAsia" w:ascii="楷体" w:hAnsi="楷体" w:eastAsia="楷体"/>
                <w:sz w:val="24"/>
                <w:szCs w:val="24"/>
              </w:rPr>
              <w:t>，现有手册从发布实施以来已经运行</w:t>
            </w:r>
            <w:r>
              <w:rPr>
                <w:rFonts w:ascii="楷体" w:hAnsi="楷体" w:eastAsia="楷体"/>
                <w:sz w:val="24"/>
                <w:szCs w:val="24"/>
              </w:rPr>
              <w:t xml:space="preserve"> 3 </w:t>
            </w:r>
            <w:r>
              <w:rPr>
                <w:rFonts w:hint="eastAsia" w:ascii="楷体" w:hAnsi="楷体" w:eastAsia="楷体"/>
                <w:sz w:val="24"/>
                <w:szCs w:val="24"/>
              </w:rPr>
              <w:t>个月以上。</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ascii="楷体" w:hAnsi="楷体" w:eastAsia="楷体"/>
                <w:sz w:val="24"/>
                <w:szCs w:val="24"/>
              </w:rPr>
              <w:t>ZJJC-SC-20</w:t>
            </w:r>
            <w:r>
              <w:rPr>
                <w:rFonts w:hint="eastAsia" w:ascii="楷体" w:hAnsi="楷体" w:eastAsia="楷体"/>
                <w:sz w:val="24"/>
                <w:szCs w:val="24"/>
                <w:lang w:val="en-US" w:eastAsia="zh-CN"/>
              </w:rPr>
              <w:t>22</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olor w:val="000000"/>
                <w:sz w:val="24"/>
                <w:szCs w:val="24"/>
                <w:lang w:val="en-US" w:eastAsia="zh-CN"/>
              </w:rPr>
              <w:t>胡名福</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QEO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spacing w:line="360" w:lineRule="auto"/>
              <w:ind w:firstLine="480" w:firstLineChars="200"/>
              <w:rPr>
                <w:rFonts w:ascii="楷体" w:hAnsi="楷体" w:eastAsia="楷体"/>
                <w:color w:val="000000"/>
                <w:sz w:val="24"/>
                <w:szCs w:val="24"/>
              </w:rPr>
            </w:pPr>
            <w:bookmarkStart w:id="0" w:name="审核范围"/>
            <w:r>
              <w:rPr>
                <w:rFonts w:ascii="楷体" w:hAnsi="楷体" w:eastAsia="楷体"/>
                <w:color w:val="000000"/>
                <w:sz w:val="24"/>
                <w:szCs w:val="24"/>
              </w:rPr>
              <w:t>Q</w:t>
            </w:r>
            <w:r>
              <w:rPr>
                <w:rFonts w:hint="eastAsia" w:ascii="楷体" w:hAnsi="楷体" w:eastAsia="楷体"/>
                <w:color w:val="000000"/>
                <w:sz w:val="24"/>
                <w:szCs w:val="24"/>
              </w:rPr>
              <w:t>：预拌混凝土的生产；</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E</w:t>
            </w:r>
            <w:r>
              <w:rPr>
                <w:rFonts w:hint="eastAsia" w:ascii="楷体" w:hAnsi="楷体" w:eastAsia="楷体"/>
                <w:color w:val="000000"/>
                <w:sz w:val="24"/>
                <w:szCs w:val="24"/>
              </w:rPr>
              <w:t>：预拌混凝土的生产相关的环境管理活动；</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O</w:t>
            </w:r>
            <w:r>
              <w:rPr>
                <w:rFonts w:hint="eastAsia" w:ascii="楷体" w:hAnsi="楷体" w:eastAsia="楷体"/>
                <w:color w:val="000000"/>
                <w:sz w:val="24"/>
                <w:szCs w:val="24"/>
              </w:rPr>
              <w:t>：预拌混凝土的生产及相关的职业健康安全管理活动</w:t>
            </w:r>
            <w:bookmarkEnd w:id="0"/>
            <w:r>
              <w:rPr>
                <w:rFonts w:hint="eastAsia" w:ascii="楷体" w:hAnsi="楷体" w:eastAsia="楷体"/>
                <w:color w:val="000000"/>
                <w:sz w:val="24"/>
                <w:szCs w:val="24"/>
              </w:rPr>
              <w:t>；</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公司按照常规国标和客户要求生产无需再进行设计开发，因此</w:t>
            </w:r>
            <w:r>
              <w:rPr>
                <w:rFonts w:ascii="楷体" w:hAnsi="楷体" w:eastAsia="楷体"/>
                <w:color w:val="000000"/>
                <w:sz w:val="24"/>
                <w:szCs w:val="24"/>
              </w:rPr>
              <w:t>Q8.3</w:t>
            </w:r>
            <w:r>
              <w:rPr>
                <w:rFonts w:hint="eastAsia" w:ascii="楷体" w:hAnsi="楷体" w:eastAsia="楷体"/>
                <w:color w:val="000000"/>
                <w:sz w:val="24"/>
                <w:szCs w:val="24"/>
              </w:rPr>
              <w:t>条款不适用。</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GB/T19001-2016 </w:t>
            </w:r>
            <w:r>
              <w:rPr>
                <w:rFonts w:hint="eastAsia" w:ascii="楷体" w:hAnsi="楷体" w:eastAsia="楷体"/>
                <w:sz w:val="24"/>
                <w:szCs w:val="24"/>
              </w:rPr>
              <w:t>和</w:t>
            </w:r>
            <w:r>
              <w:rPr>
                <w:rFonts w:ascii="楷体" w:hAnsi="楷体" w:eastAsia="楷体"/>
                <w:sz w:val="24"/>
                <w:szCs w:val="24"/>
              </w:rPr>
              <w:t xml:space="preserve"> GB/T24001-2016</w:t>
            </w:r>
            <w:r>
              <w:rPr>
                <w:rFonts w:hint="eastAsia" w:ascii="楷体" w:hAnsi="楷体" w:eastAsia="楷体"/>
                <w:sz w:val="24"/>
                <w:szCs w:val="24"/>
              </w:rPr>
              <w:t>、</w:t>
            </w:r>
            <w:r>
              <w:rPr>
                <w:rFonts w:ascii="楷体" w:hAnsi="楷体" w:eastAsia="楷体"/>
                <w:sz w:val="24"/>
                <w:szCs w:val="24"/>
              </w:rPr>
              <w:t xml:space="preserve">ISO45001:2018 </w:t>
            </w:r>
            <w:r>
              <w:rPr>
                <w:rFonts w:hint="eastAsia" w:ascii="楷体" w:hAnsi="楷体" w:eastAsia="楷体"/>
                <w:sz w:val="24"/>
                <w:szCs w:val="24"/>
              </w:rPr>
              <w:t>标准的要求识别了质量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职业健康安全管理所需的过程及相互作用，识别了质量和环境、职业健康安全管理体系涉及的各个过程：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职业健康安全管理体系，编制了质量／环境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企业已经制定质量、环境、安全方针，具体包含在《管理手册》，公司的质量、环境、职业健康安全方针是：</w:t>
            </w:r>
          </w:p>
          <w:p>
            <w:pPr>
              <w:spacing w:line="400" w:lineRule="exact"/>
              <w:ind w:firstLine="480" w:firstLineChars="200"/>
              <w:rPr>
                <w:rFonts w:ascii="楷体" w:hAnsi="楷体" w:eastAsia="楷体"/>
                <w:sz w:val="24"/>
                <w:szCs w:val="24"/>
              </w:rPr>
            </w:pPr>
            <w:r>
              <w:rPr>
                <w:rFonts w:hint="eastAsia" w:ascii="楷体" w:hAnsi="楷体" w:eastAsia="楷体"/>
                <w:sz w:val="24"/>
                <w:szCs w:val="24"/>
              </w:rPr>
              <w:t>质量至上、持续创新、诚实守信、顾客至上；</w:t>
            </w:r>
          </w:p>
          <w:p>
            <w:pPr>
              <w:spacing w:line="400" w:lineRule="exact"/>
              <w:ind w:firstLine="480" w:firstLineChars="200"/>
              <w:rPr>
                <w:rFonts w:ascii="楷体" w:hAnsi="楷体" w:eastAsia="楷体"/>
                <w:sz w:val="24"/>
                <w:szCs w:val="24"/>
              </w:rPr>
            </w:pPr>
            <w:r>
              <w:rPr>
                <w:rFonts w:hint="eastAsia" w:ascii="楷体" w:hAnsi="楷体" w:eastAsia="楷体"/>
                <w:sz w:val="24"/>
                <w:szCs w:val="24"/>
              </w:rPr>
              <w:t>预防为主，降低风险；遵章守法，减污降耗；</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eastAsia="zh-CN"/>
              </w:rPr>
              <w:t>：</w:t>
            </w:r>
            <w:r>
              <w:rPr>
                <w:rFonts w:hint="eastAsia" w:ascii="楷体" w:hAnsi="楷体" w:eastAsia="楷体"/>
                <w:sz w:val="24"/>
                <w:szCs w:val="24"/>
                <w:lang w:val="en-US" w:eastAsia="zh-CN"/>
              </w:rPr>
              <w:t>胡名福，</w:t>
            </w:r>
            <w:r>
              <w:rPr>
                <w:rFonts w:hint="eastAsia" w:ascii="楷体" w:hAnsi="楷体" w:eastAsia="楷体"/>
                <w:sz w:val="24"/>
                <w:szCs w:val="24"/>
              </w:rPr>
              <w:t>管代</w:t>
            </w:r>
            <w:r>
              <w:rPr>
                <w:rFonts w:ascii="楷体" w:hAnsi="楷体" w:eastAsia="楷体"/>
                <w:sz w:val="24"/>
                <w:szCs w:val="24"/>
              </w:rPr>
              <w:t>:</w:t>
            </w:r>
            <w:r>
              <w:rPr>
                <w:rFonts w:hint="eastAsia" w:ascii="楷体" w:hAnsi="楷体" w:eastAsia="楷体"/>
                <w:sz w:val="24"/>
                <w:szCs w:val="24"/>
                <w:lang w:val="en-US" w:eastAsia="zh-CN"/>
              </w:rPr>
              <w:t>万林芳</w:t>
            </w:r>
            <w:r>
              <w:rPr>
                <w:rFonts w:hint="eastAsia" w:ascii="楷体" w:hAnsi="楷体" w:eastAsia="楷体"/>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6.1</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质量目标：</w:t>
            </w:r>
          </w:p>
          <w:p>
            <w:pPr>
              <w:spacing w:line="360" w:lineRule="auto"/>
              <w:ind w:firstLine="560" w:firstLineChars="200"/>
              <w:rPr>
                <w:rFonts w:ascii="楷体" w:hAnsi="楷体" w:eastAsia="楷体"/>
                <w:spacing w:val="20"/>
                <w:sz w:val="24"/>
                <w:szCs w:val="24"/>
              </w:rPr>
            </w:pPr>
            <w:r>
              <w:rPr>
                <w:rFonts w:hint="eastAsia" w:ascii="楷体" w:hAnsi="楷体" w:eastAsia="楷体"/>
                <w:spacing w:val="20"/>
                <w:sz w:val="24"/>
                <w:szCs w:val="24"/>
              </w:rPr>
              <w:t>成品一次交验合格率≥</w:t>
            </w:r>
            <w:r>
              <w:rPr>
                <w:rFonts w:ascii="楷体" w:hAnsi="楷体" w:eastAsia="楷体"/>
                <w:spacing w:val="20"/>
                <w:sz w:val="24"/>
                <w:szCs w:val="24"/>
              </w:rPr>
              <w:t>97%</w:t>
            </w:r>
          </w:p>
          <w:p>
            <w:pPr>
              <w:spacing w:line="360" w:lineRule="auto"/>
              <w:ind w:firstLine="560" w:firstLineChars="200"/>
              <w:rPr>
                <w:rFonts w:ascii="楷体" w:hAnsi="楷体" w:eastAsia="楷体"/>
                <w:spacing w:val="20"/>
                <w:sz w:val="24"/>
                <w:szCs w:val="24"/>
              </w:rPr>
            </w:pPr>
            <w:r>
              <w:rPr>
                <w:rFonts w:hint="eastAsia" w:ascii="楷体" w:hAnsi="楷体" w:eastAsia="楷体"/>
                <w:spacing w:val="20"/>
                <w:sz w:val="24"/>
                <w:szCs w:val="24"/>
              </w:rPr>
              <w:t>顾客满意度≥</w:t>
            </w:r>
            <w:r>
              <w:rPr>
                <w:rFonts w:ascii="楷体" w:hAnsi="楷体" w:eastAsia="楷体"/>
                <w:spacing w:val="20"/>
                <w:sz w:val="24"/>
                <w:szCs w:val="24"/>
              </w:rPr>
              <w:t>95</w:t>
            </w:r>
            <w:r>
              <w:rPr>
                <w:rFonts w:hint="eastAsia" w:ascii="楷体" w:hAnsi="楷体" w:eastAsia="楷体"/>
                <w:spacing w:val="20"/>
                <w:sz w:val="24"/>
                <w:szCs w:val="24"/>
              </w:rPr>
              <w:t>分</w:t>
            </w:r>
            <w:r>
              <w:rPr>
                <w:rFonts w:ascii="楷体" w:hAnsi="楷体" w:eastAsia="楷体"/>
                <w:spacing w:val="20"/>
                <w:sz w:val="24"/>
                <w:szCs w:val="24"/>
              </w:rPr>
              <w:t xml:space="preserve"> </w:t>
            </w:r>
            <w:r>
              <w:rPr>
                <w:rFonts w:hint="eastAsia" w:ascii="楷体" w:hAnsi="楷体" w:eastAsia="楷体"/>
                <w:spacing w:val="20"/>
                <w:sz w:val="24"/>
                <w:szCs w:val="24"/>
              </w:rPr>
              <w:t>；</w:t>
            </w:r>
          </w:p>
          <w:p>
            <w:pPr>
              <w:spacing w:line="360" w:lineRule="auto"/>
              <w:rPr>
                <w:rFonts w:ascii="楷体" w:hAnsi="楷体" w:eastAsia="楷体"/>
                <w:sz w:val="24"/>
                <w:szCs w:val="24"/>
              </w:rPr>
            </w:pPr>
            <w:r>
              <w:rPr>
                <w:rFonts w:hint="eastAsia" w:ascii="楷体" w:hAnsi="楷体" w:eastAsia="楷体"/>
                <w:sz w:val="24"/>
                <w:szCs w:val="24"/>
              </w:rPr>
              <w:t>安全环境目标：</w:t>
            </w:r>
          </w:p>
          <w:p>
            <w:pPr>
              <w:spacing w:line="360" w:lineRule="auto"/>
              <w:ind w:firstLine="560" w:firstLineChars="200"/>
              <w:rPr>
                <w:rFonts w:ascii="楷体" w:hAnsi="楷体" w:eastAsia="楷体"/>
                <w:sz w:val="24"/>
                <w:szCs w:val="24"/>
              </w:rPr>
            </w:pPr>
            <w:r>
              <w:rPr>
                <w:rFonts w:hint="eastAsia" w:ascii="楷体" w:hAnsi="楷体" w:eastAsia="楷体"/>
                <w:spacing w:val="20"/>
                <w:sz w:val="24"/>
                <w:szCs w:val="24"/>
              </w:rPr>
              <w:t>固废分类处置；</w:t>
            </w:r>
          </w:p>
          <w:p>
            <w:pPr>
              <w:spacing w:line="360" w:lineRule="auto"/>
              <w:ind w:firstLine="480" w:firstLineChars="200"/>
              <w:rPr>
                <w:rFonts w:ascii="楷体" w:hAnsi="楷体" w:eastAsia="楷体" w:cs="HAAPML+o¨²¨¬?"/>
                <w:sz w:val="24"/>
                <w:szCs w:val="24"/>
              </w:rPr>
            </w:pPr>
            <w:r>
              <w:rPr>
                <w:rFonts w:ascii="楷体" w:hAnsi="楷体" w:eastAsia="楷体" w:cs="HAAPML+o¨²¨¬?"/>
                <w:sz w:val="24"/>
                <w:szCs w:val="24"/>
              </w:rPr>
              <w:t xml:space="preserve"> </w:t>
            </w:r>
            <w:r>
              <w:rPr>
                <w:rFonts w:hint="eastAsia" w:ascii="楷体" w:hAnsi="楷体" w:eastAsia="楷体" w:cs="HAAPML+o¨²¨¬?"/>
                <w:sz w:val="24"/>
                <w:szCs w:val="24"/>
              </w:rPr>
              <w:t>噪声</w:t>
            </w:r>
            <w:r>
              <w:rPr>
                <w:rFonts w:ascii="楷体" w:hAnsi="楷体" w:eastAsia="楷体" w:cs="HAAPML+o¨²¨¬?"/>
                <w:sz w:val="24"/>
                <w:szCs w:val="24"/>
              </w:rPr>
              <w:t>\</w:t>
            </w:r>
            <w:r>
              <w:rPr>
                <w:rFonts w:hint="eastAsia" w:ascii="楷体" w:hAnsi="楷体" w:eastAsia="楷体" w:cs="HAAPML+o¨²¨¬?"/>
                <w:sz w:val="24"/>
                <w:szCs w:val="24"/>
              </w:rPr>
              <w:t>粉尘达标排放；</w:t>
            </w:r>
          </w:p>
          <w:p>
            <w:pPr>
              <w:spacing w:line="360" w:lineRule="auto"/>
              <w:ind w:firstLine="480" w:firstLineChars="200"/>
              <w:rPr>
                <w:rFonts w:ascii="楷体" w:hAnsi="楷体" w:eastAsia="楷体"/>
                <w:spacing w:val="20"/>
                <w:sz w:val="24"/>
                <w:szCs w:val="24"/>
              </w:rPr>
            </w:pPr>
            <w:r>
              <w:rPr>
                <w:rFonts w:ascii="楷体" w:hAnsi="楷体" w:eastAsia="楷体"/>
                <w:color w:val="000000"/>
                <w:sz w:val="24"/>
                <w:szCs w:val="24"/>
              </w:rPr>
              <w:t xml:space="preserve"> </w:t>
            </w:r>
            <w:r>
              <w:rPr>
                <w:rFonts w:hint="eastAsia" w:ascii="楷体" w:hAnsi="楷体" w:eastAsia="楷体"/>
                <w:color w:val="000000"/>
                <w:sz w:val="24"/>
                <w:szCs w:val="24"/>
              </w:rPr>
              <w:t>火灾事故为</w:t>
            </w:r>
            <w:r>
              <w:rPr>
                <w:rFonts w:ascii="楷体" w:hAnsi="楷体" w:eastAsia="楷体"/>
                <w:color w:val="000000"/>
                <w:sz w:val="24"/>
                <w:szCs w:val="24"/>
              </w:rPr>
              <w:t>0</w:t>
            </w:r>
            <w:r>
              <w:rPr>
                <w:rFonts w:hint="eastAsia" w:ascii="楷体" w:hAnsi="楷体" w:eastAsia="楷体"/>
                <w:spacing w:val="20"/>
                <w:sz w:val="24"/>
                <w:szCs w:val="24"/>
              </w:rPr>
              <w:t>；</w:t>
            </w:r>
          </w:p>
          <w:p>
            <w:pPr>
              <w:spacing w:line="360" w:lineRule="auto"/>
              <w:ind w:firstLine="480" w:firstLineChars="200"/>
              <w:rPr>
                <w:rFonts w:ascii="楷体" w:hAnsi="楷体" w:eastAsia="楷体"/>
                <w:spacing w:val="20"/>
                <w:sz w:val="24"/>
                <w:szCs w:val="24"/>
              </w:rPr>
            </w:pPr>
            <w:r>
              <w:rPr>
                <w:rFonts w:ascii="楷体" w:hAnsi="楷体" w:eastAsia="楷体"/>
                <w:color w:val="000000"/>
                <w:sz w:val="24"/>
                <w:szCs w:val="24"/>
              </w:rPr>
              <w:t xml:space="preserve"> </w:t>
            </w:r>
            <w:r>
              <w:rPr>
                <w:rFonts w:hint="eastAsia" w:ascii="楷体" w:hAnsi="楷体" w:eastAsia="楷体"/>
                <w:color w:val="000000"/>
                <w:sz w:val="24"/>
                <w:szCs w:val="24"/>
              </w:rPr>
              <w:t>触电机械伤害事故为</w:t>
            </w:r>
            <w:r>
              <w:rPr>
                <w:rFonts w:ascii="楷体" w:hAnsi="楷体" w:eastAsia="楷体"/>
                <w:color w:val="000000"/>
                <w:sz w:val="24"/>
                <w:szCs w:val="24"/>
              </w:rPr>
              <w:t>0</w:t>
            </w:r>
            <w:r>
              <w:rPr>
                <w:rFonts w:hint="eastAsia" w:ascii="楷体" w:hAnsi="楷体" w:eastAsia="楷体"/>
                <w:spacing w:val="20"/>
                <w:sz w:val="24"/>
                <w:szCs w:val="24"/>
              </w:rPr>
              <w:t>；</w:t>
            </w:r>
          </w:p>
          <w:p>
            <w:pPr>
              <w:spacing w:line="360" w:lineRule="auto"/>
              <w:ind w:firstLine="480" w:firstLineChars="200"/>
              <w:rPr>
                <w:rFonts w:ascii="楷体" w:hAnsi="楷体" w:eastAsia="楷体"/>
                <w:spacing w:val="20"/>
                <w:sz w:val="24"/>
                <w:szCs w:val="24"/>
              </w:rPr>
            </w:pPr>
            <w:r>
              <w:rPr>
                <w:rFonts w:ascii="楷体" w:hAnsi="楷体" w:eastAsia="楷体"/>
                <w:color w:val="000000"/>
                <w:sz w:val="24"/>
                <w:szCs w:val="24"/>
              </w:rPr>
              <w:t xml:space="preserve"> </w:t>
            </w:r>
            <w:r>
              <w:rPr>
                <w:rFonts w:hint="eastAsia" w:ascii="楷体" w:hAnsi="楷体" w:eastAsia="楷体"/>
                <w:color w:val="000000"/>
                <w:sz w:val="24"/>
                <w:szCs w:val="24"/>
              </w:rPr>
              <w:t>高空坠落事故为</w:t>
            </w:r>
            <w:r>
              <w:rPr>
                <w:rFonts w:ascii="楷体" w:hAnsi="楷体" w:eastAsia="楷体"/>
                <w:color w:val="000000"/>
                <w:sz w:val="24"/>
                <w:szCs w:val="24"/>
              </w:rPr>
              <w:t>0</w:t>
            </w:r>
            <w:r>
              <w:rPr>
                <w:rFonts w:hint="eastAsia" w:ascii="楷体" w:hAnsi="楷体" w:eastAsia="楷体"/>
                <w:spacing w:val="20"/>
                <w:sz w:val="24"/>
                <w:szCs w:val="24"/>
              </w:rPr>
              <w:t>；</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对公司质量、环境、职业健康安全目标、指标予以分解，并在相关职能层次部门建立分目标，查见《质量</w:t>
            </w:r>
            <w:r>
              <w:rPr>
                <w:rFonts w:ascii="楷体" w:hAnsi="楷体" w:eastAsia="楷体"/>
                <w:color w:val="000000"/>
                <w:sz w:val="24"/>
                <w:szCs w:val="24"/>
              </w:rPr>
              <w:t>\</w:t>
            </w:r>
            <w:r>
              <w:rPr>
                <w:rFonts w:hint="eastAsia" w:ascii="楷体" w:hAnsi="楷体" w:eastAsia="楷体"/>
                <w:color w:val="000000"/>
                <w:sz w:val="24"/>
                <w:szCs w:val="24"/>
              </w:rPr>
              <w:t>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职业健康安全目标分解考核表》，20</w:t>
            </w:r>
            <w:r>
              <w:rPr>
                <w:rFonts w:hint="eastAsia" w:ascii="楷体" w:hAnsi="楷体" w:eastAsia="楷体"/>
                <w:color w:val="000000"/>
                <w:sz w:val="24"/>
                <w:szCs w:val="24"/>
                <w:lang w:val="en-US" w:eastAsia="zh-CN"/>
              </w:rPr>
              <w:t>22</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12</w:t>
            </w:r>
            <w:r>
              <w:rPr>
                <w:rFonts w:hint="eastAsia" w:ascii="楷体" w:hAnsi="楷体" w:eastAsia="楷体"/>
                <w:color w:val="000000"/>
                <w:sz w:val="24"/>
                <w:szCs w:val="24"/>
              </w:rPr>
              <w:t>.3</w:t>
            </w:r>
            <w:r>
              <w:rPr>
                <w:rFonts w:hint="eastAsia" w:ascii="楷体" w:hAnsi="楷体" w:eastAsia="楷体"/>
                <w:color w:val="000000"/>
                <w:sz w:val="24"/>
                <w:szCs w:val="24"/>
                <w:lang w:val="en-US" w:eastAsia="zh-CN"/>
              </w:rPr>
              <w:t>0</w:t>
            </w:r>
            <w:r>
              <w:rPr>
                <w:rFonts w:hint="eastAsia" w:ascii="楷体" w:hAnsi="楷体" w:eastAsia="楷体"/>
                <w:color w:val="000000"/>
                <w:sz w:val="24"/>
                <w:szCs w:val="24"/>
              </w:rPr>
              <w:t>日完成情况：</w:t>
            </w:r>
          </w:p>
          <w:tbl>
            <w:tblPr>
              <w:tblStyle w:val="6"/>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626"/>
              <w:gridCol w:w="2826"/>
              <w:gridCol w:w="2038"/>
              <w:gridCol w:w="1058"/>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部门</w:t>
                  </w:r>
                </w:p>
              </w:tc>
              <w:tc>
                <w:tcPr>
                  <w:tcW w:w="2626"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目标</w:t>
                  </w:r>
                </w:p>
              </w:tc>
              <w:tc>
                <w:tcPr>
                  <w:tcW w:w="2826"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考核方式</w:t>
                  </w:r>
                </w:p>
              </w:tc>
              <w:tc>
                <w:tcPr>
                  <w:tcW w:w="203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考核结果</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完成情况</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restart"/>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公司</w:t>
                  </w: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产品一次交验合格率≥</w:t>
                  </w:r>
                  <w:r>
                    <w:rPr>
                      <w:rFonts w:ascii="楷体" w:hAnsi="楷体" w:eastAsia="楷体"/>
                      <w:color w:val="000000"/>
                      <w:sz w:val="24"/>
                      <w:szCs w:val="24"/>
                    </w:rPr>
                    <w:t>97%</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合格数÷总数×</w:t>
                  </w:r>
                  <w:r>
                    <w:rPr>
                      <w:rFonts w:ascii="楷体" w:hAnsi="楷体" w:eastAsia="楷体"/>
                      <w:sz w:val="24"/>
                      <w:szCs w:val="24"/>
                    </w:rPr>
                    <w:t>100%</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交验合格率</w:t>
                  </w:r>
                  <w:r>
                    <w:rPr>
                      <w:rFonts w:ascii="楷体" w:hAnsi="楷体" w:eastAsia="楷体"/>
                      <w:color w:val="000000"/>
                      <w:sz w:val="24"/>
                      <w:szCs w:val="24"/>
                    </w:rPr>
                    <w:t>100</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顾客满意度</w:t>
                  </w:r>
                  <w:r>
                    <w:rPr>
                      <w:rFonts w:ascii="楷体" w:hAnsi="楷体" w:eastAsia="楷体"/>
                      <w:color w:val="000000"/>
                      <w:sz w:val="24"/>
                      <w:szCs w:val="24"/>
                    </w:rPr>
                    <w:t>95</w:t>
                  </w:r>
                  <w:r>
                    <w:rPr>
                      <w:rFonts w:hint="eastAsia" w:ascii="楷体" w:hAnsi="楷体" w:eastAsia="楷体"/>
                      <w:color w:val="000000"/>
                      <w:sz w:val="24"/>
                      <w:szCs w:val="24"/>
                    </w:rPr>
                    <w:t>分以上</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评定数÷总数×</w:t>
                  </w:r>
                  <w:r>
                    <w:rPr>
                      <w:rFonts w:ascii="楷体" w:hAnsi="楷体" w:eastAsia="楷体"/>
                      <w:sz w:val="24"/>
                      <w:szCs w:val="24"/>
                    </w:rPr>
                    <w:t>100%</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顾客满意度</w:t>
                  </w:r>
                  <w:r>
                    <w:rPr>
                      <w:rFonts w:ascii="楷体" w:hAnsi="楷体" w:eastAsia="楷体"/>
                      <w:color w:val="000000"/>
                      <w:sz w:val="24"/>
                      <w:szCs w:val="24"/>
                    </w:rPr>
                    <w:t>9</w:t>
                  </w:r>
                  <w:r>
                    <w:rPr>
                      <w:rFonts w:hint="eastAsia" w:ascii="楷体" w:hAnsi="楷体" w:eastAsia="楷体"/>
                      <w:color w:val="000000"/>
                      <w:sz w:val="24"/>
                      <w:szCs w:val="24"/>
                      <w:lang w:val="en-US" w:eastAsia="zh-CN"/>
                    </w:rPr>
                    <w:t>8</w:t>
                  </w:r>
                  <w:r>
                    <w:rPr>
                      <w:rFonts w:hint="eastAsia" w:ascii="楷体" w:hAnsi="楷体" w:eastAsia="楷体"/>
                      <w:color w:val="000000"/>
                      <w:sz w:val="24"/>
                      <w:szCs w:val="24"/>
                    </w:rPr>
                    <w:t>分</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火灾、触电机械伤害、高空堕落控制事故为</w:t>
                  </w:r>
                  <w:r>
                    <w:rPr>
                      <w:rFonts w:ascii="楷体" w:hAnsi="楷体" w:eastAsia="楷体"/>
                      <w:color w:val="000000"/>
                      <w:sz w:val="24"/>
                      <w:szCs w:val="24"/>
                    </w:rPr>
                    <w:t>0</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查看触电、火灾、</w:t>
                  </w:r>
                  <w:r>
                    <w:rPr>
                      <w:rFonts w:hint="eastAsia" w:ascii="楷体" w:hAnsi="楷体" w:eastAsia="楷体"/>
                      <w:color w:val="000000"/>
                      <w:sz w:val="24"/>
                      <w:szCs w:val="24"/>
                    </w:rPr>
                    <w:t>机械伤害、高空堕落</w:t>
                  </w:r>
                  <w:r>
                    <w:rPr>
                      <w:rFonts w:hint="eastAsia" w:ascii="楷体" w:hAnsi="楷体" w:eastAsia="楷体"/>
                      <w:sz w:val="24"/>
                      <w:szCs w:val="24"/>
                    </w:rPr>
                    <w:t>事故记录</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没有发生事故</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24"/>
                      <w:szCs w:val="24"/>
                    </w:rPr>
                  </w:pPr>
                  <w:r>
                    <w:rPr>
                      <w:rFonts w:hint="eastAsia" w:ascii="楷体" w:hAnsi="楷体" w:eastAsia="楷体"/>
                      <w:color w:val="000000"/>
                      <w:sz w:val="24"/>
                      <w:szCs w:val="24"/>
                    </w:rPr>
                    <w:t>职业病发病为</w:t>
                  </w:r>
                  <w:r>
                    <w:rPr>
                      <w:rFonts w:ascii="楷体" w:hAnsi="楷体" w:eastAsia="楷体"/>
                      <w:color w:val="000000"/>
                      <w:sz w:val="24"/>
                      <w:szCs w:val="24"/>
                    </w:rPr>
                    <w:t>0</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查看职业健康体检报告</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24"/>
                      <w:szCs w:val="24"/>
                    </w:rPr>
                  </w:pPr>
                  <w:r>
                    <w:rPr>
                      <w:rFonts w:hint="eastAsia" w:ascii="楷体" w:hAnsi="楷体" w:eastAsia="楷体"/>
                      <w:color w:val="000000"/>
                      <w:sz w:val="24"/>
                      <w:szCs w:val="24"/>
                    </w:rPr>
                    <w:t>经体检没有发生职业病</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固体废弃物分类处置</w:t>
                  </w:r>
                </w:p>
                <w:p>
                  <w:pPr>
                    <w:rPr>
                      <w:rFonts w:ascii="楷体" w:hAnsi="楷体" w:eastAsia="楷体"/>
                      <w:sz w:val="24"/>
                      <w:szCs w:val="24"/>
                    </w:rPr>
                  </w:pPr>
                  <w:r>
                    <w:rPr>
                      <w:rFonts w:hint="eastAsia" w:ascii="楷体" w:hAnsi="楷体" w:eastAsia="楷体" w:cs="HAAPML+o¨²¨¬?"/>
                      <w:sz w:val="24"/>
                      <w:szCs w:val="24"/>
                    </w:rPr>
                    <w:t>噪声</w:t>
                  </w:r>
                  <w:r>
                    <w:rPr>
                      <w:rFonts w:ascii="楷体" w:hAnsi="楷体" w:eastAsia="楷体" w:cs="HAAPML+o¨²¨¬?"/>
                      <w:sz w:val="24"/>
                      <w:szCs w:val="24"/>
                    </w:rPr>
                    <w:t>\</w:t>
                  </w:r>
                  <w:r>
                    <w:rPr>
                      <w:rFonts w:hint="eastAsia" w:ascii="楷体" w:hAnsi="楷体" w:eastAsia="楷体" w:cs="HAAPML+o¨²¨¬?"/>
                      <w:sz w:val="24"/>
                      <w:szCs w:val="24"/>
                    </w:rPr>
                    <w:t>粉尘达标排放</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符合数量÷检查数量×</w:t>
                  </w:r>
                  <w:r>
                    <w:rPr>
                      <w:rFonts w:ascii="楷体" w:hAnsi="楷体" w:eastAsia="楷体"/>
                      <w:sz w:val="24"/>
                      <w:szCs w:val="24"/>
                    </w:rPr>
                    <w:t>100%</w:t>
                  </w:r>
                  <w:r>
                    <w:rPr>
                      <w:rFonts w:hint="eastAsia" w:ascii="楷体" w:hAnsi="楷体" w:eastAsia="楷体"/>
                      <w:sz w:val="24"/>
                      <w:szCs w:val="24"/>
                    </w:rPr>
                    <w:t>。</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固体废弃物分类处置率</w:t>
                  </w:r>
                  <w:r>
                    <w:rPr>
                      <w:rFonts w:ascii="楷体" w:hAnsi="楷体" w:eastAsia="楷体"/>
                      <w:sz w:val="24"/>
                      <w:szCs w:val="24"/>
                    </w:rPr>
                    <w:t>1000%</w:t>
                  </w:r>
                </w:p>
                <w:p>
                  <w:pPr>
                    <w:rPr>
                      <w:rFonts w:ascii="楷体" w:hAnsi="楷体" w:eastAsia="楷体"/>
                      <w:sz w:val="24"/>
                      <w:szCs w:val="24"/>
                    </w:rPr>
                  </w:pPr>
                  <w:r>
                    <w:rPr>
                      <w:rFonts w:hint="eastAsia" w:ascii="楷体" w:hAnsi="楷体" w:eastAsia="楷体" w:cs="HAAPML+o¨²¨¬?"/>
                      <w:sz w:val="24"/>
                      <w:szCs w:val="24"/>
                    </w:rPr>
                    <w:t>噪声</w:t>
                  </w:r>
                  <w:r>
                    <w:rPr>
                      <w:rFonts w:ascii="楷体" w:hAnsi="楷体" w:eastAsia="楷体" w:cs="HAAPML+o¨²¨¬?"/>
                      <w:sz w:val="24"/>
                      <w:szCs w:val="24"/>
                    </w:rPr>
                    <w:t>\</w:t>
                  </w:r>
                  <w:r>
                    <w:rPr>
                      <w:rFonts w:hint="eastAsia" w:ascii="楷体" w:hAnsi="楷体" w:eastAsia="楷体" w:cs="HAAPML+o¨²¨¬?"/>
                      <w:sz w:val="24"/>
                      <w:szCs w:val="24"/>
                    </w:rPr>
                    <w:t>粉尘排放达标</w:t>
                  </w:r>
                  <w:r>
                    <w:rPr>
                      <w:rFonts w:ascii="楷体" w:hAnsi="楷体" w:eastAsia="楷体" w:cs="HAAPML+o¨²¨¬?"/>
                      <w:sz w:val="24"/>
                      <w:szCs w:val="24"/>
                    </w:rPr>
                    <w:t>(</w:t>
                  </w:r>
                  <w:r>
                    <w:rPr>
                      <w:rFonts w:hint="eastAsia" w:ascii="楷体" w:hAnsi="楷体" w:eastAsia="楷体" w:cs="HAAPML+o¨²¨¬?"/>
                      <w:sz w:val="24"/>
                      <w:szCs w:val="24"/>
                    </w:rPr>
                    <w:t>见检测报告</w:t>
                  </w:r>
                  <w:r>
                    <w:rPr>
                      <w:rFonts w:ascii="楷体" w:hAnsi="楷体" w:eastAsia="楷体" w:cs="HAAPML+o¨²¨¬?"/>
                      <w:sz w:val="24"/>
                      <w:szCs w:val="24"/>
                    </w:rPr>
                    <w:t>)</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restart"/>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行政部</w:t>
                  </w: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文件受控率达</w:t>
                  </w:r>
                  <w:r>
                    <w:rPr>
                      <w:rFonts w:ascii="楷体" w:hAnsi="楷体" w:eastAsia="楷体"/>
                      <w:sz w:val="24"/>
                      <w:szCs w:val="24"/>
                    </w:rPr>
                    <w:t>100%</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受控文件数</w:t>
                  </w:r>
                  <w:r>
                    <w:rPr>
                      <w:rFonts w:ascii="楷体" w:hAnsi="楷体" w:eastAsia="楷体"/>
                      <w:sz w:val="24"/>
                      <w:szCs w:val="24"/>
                    </w:rPr>
                    <w:t>÷</w:t>
                  </w:r>
                  <w:r>
                    <w:rPr>
                      <w:rFonts w:hint="eastAsia" w:ascii="楷体" w:hAnsi="楷体" w:eastAsia="楷体"/>
                      <w:sz w:val="24"/>
                      <w:szCs w:val="24"/>
                    </w:rPr>
                    <w:t>文件总数×</w:t>
                  </w:r>
                  <w:r>
                    <w:rPr>
                      <w:rFonts w:ascii="楷体" w:hAnsi="楷体" w:eastAsia="楷体"/>
                      <w:sz w:val="24"/>
                      <w:szCs w:val="24"/>
                    </w:rPr>
                    <w:t>100%</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文件受控</w:t>
                  </w:r>
                  <w:r>
                    <w:rPr>
                      <w:rFonts w:ascii="楷体" w:hAnsi="楷体" w:eastAsia="楷体"/>
                      <w:sz w:val="24"/>
                      <w:szCs w:val="24"/>
                    </w:rPr>
                    <w:t>100%</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培训合格率达</w:t>
                  </w:r>
                  <w:r>
                    <w:rPr>
                      <w:rFonts w:ascii="楷体" w:hAnsi="楷体" w:eastAsia="楷体"/>
                      <w:sz w:val="24"/>
                      <w:szCs w:val="24"/>
                    </w:rPr>
                    <w:t xml:space="preserve">100% </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培训次数÷总人次数×</w:t>
                  </w:r>
                  <w:r>
                    <w:rPr>
                      <w:rFonts w:ascii="楷体" w:hAnsi="楷体" w:eastAsia="楷体"/>
                      <w:sz w:val="24"/>
                      <w:szCs w:val="24"/>
                    </w:rPr>
                    <w:t>100%</w:t>
                  </w:r>
                </w:p>
                <w:p>
                  <w:pPr>
                    <w:rPr>
                      <w:rFonts w:ascii="楷体" w:hAnsi="楷体" w:eastAsia="楷体"/>
                      <w:sz w:val="24"/>
                      <w:szCs w:val="24"/>
                    </w:rPr>
                  </w:pP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培训合格</w:t>
                  </w:r>
                  <w:r>
                    <w:rPr>
                      <w:rFonts w:ascii="楷体" w:hAnsi="楷体" w:eastAsia="楷体"/>
                      <w:sz w:val="24"/>
                      <w:szCs w:val="24"/>
                    </w:rPr>
                    <w:t xml:space="preserve">100% </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触电、火灾事故为</w:t>
                  </w:r>
                  <w:r>
                    <w:rPr>
                      <w:rFonts w:ascii="楷体" w:hAnsi="楷体" w:eastAsia="楷体"/>
                      <w:sz w:val="24"/>
                      <w:szCs w:val="24"/>
                    </w:rPr>
                    <w:t>0</w:t>
                  </w:r>
                  <w:r>
                    <w:rPr>
                      <w:rFonts w:hint="eastAsia" w:ascii="楷体" w:hAnsi="楷体" w:eastAsia="楷体"/>
                      <w:sz w:val="24"/>
                      <w:szCs w:val="24"/>
                    </w:rPr>
                    <w:t>、</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查看触电、火灾事故记录</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触电、火灾事故</w:t>
                  </w:r>
                  <w:r>
                    <w:rPr>
                      <w:rFonts w:ascii="楷体" w:hAnsi="楷体" w:eastAsia="楷体"/>
                      <w:sz w:val="24"/>
                      <w:szCs w:val="24"/>
                    </w:rPr>
                    <w:t>0</w:t>
                  </w:r>
                  <w:r>
                    <w:rPr>
                      <w:rFonts w:hint="eastAsia" w:ascii="楷体" w:hAnsi="楷体" w:eastAsia="楷体"/>
                      <w:sz w:val="24"/>
                      <w:szCs w:val="24"/>
                    </w:rPr>
                    <w:t>发生</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固废分类处置率</w:t>
                  </w:r>
                  <w:r>
                    <w:rPr>
                      <w:rFonts w:ascii="楷体" w:hAnsi="楷体" w:eastAsia="楷体"/>
                      <w:sz w:val="24"/>
                      <w:szCs w:val="24"/>
                    </w:rPr>
                    <w:t>100%</w:t>
                  </w:r>
                  <w:r>
                    <w:rPr>
                      <w:rFonts w:hint="eastAsia" w:ascii="楷体" w:hAnsi="楷体" w:eastAsia="楷体"/>
                      <w:sz w:val="24"/>
                      <w:szCs w:val="24"/>
                    </w:rPr>
                    <w:t>；</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符合数量÷检查数量×</w:t>
                  </w:r>
                  <w:r>
                    <w:rPr>
                      <w:rFonts w:ascii="楷体" w:hAnsi="楷体" w:eastAsia="楷体"/>
                      <w:sz w:val="24"/>
                      <w:szCs w:val="24"/>
                    </w:rPr>
                    <w:t>100%</w:t>
                  </w:r>
                  <w:r>
                    <w:rPr>
                      <w:rFonts w:hint="eastAsia" w:ascii="楷体" w:hAnsi="楷体" w:eastAsia="楷体"/>
                      <w:sz w:val="24"/>
                      <w:szCs w:val="24"/>
                    </w:rPr>
                    <w:t>。</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固废分类处置率</w:t>
                  </w:r>
                  <w:r>
                    <w:rPr>
                      <w:rFonts w:ascii="楷体" w:hAnsi="楷体" w:eastAsia="楷体"/>
                      <w:sz w:val="24"/>
                      <w:szCs w:val="24"/>
                    </w:rPr>
                    <w:t>100%</w:t>
                  </w:r>
                  <w:r>
                    <w:rPr>
                      <w:rFonts w:hint="eastAsia" w:ascii="楷体" w:hAnsi="楷体" w:eastAsia="楷体"/>
                      <w:sz w:val="24"/>
                      <w:szCs w:val="24"/>
                    </w:rPr>
                    <w:t>；</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8" w:type="dxa"/>
                  <w:vMerge w:val="restart"/>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销售部</w:t>
                  </w: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合同履约率达</w:t>
                  </w:r>
                  <w:r>
                    <w:rPr>
                      <w:rFonts w:ascii="楷体" w:hAnsi="楷体" w:eastAsia="楷体"/>
                      <w:color w:val="000000"/>
                      <w:sz w:val="24"/>
                      <w:szCs w:val="24"/>
                    </w:rPr>
                    <w:t>100%</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合同完成数÷总数×</w:t>
                  </w:r>
                  <w:r>
                    <w:rPr>
                      <w:rFonts w:ascii="楷体" w:hAnsi="楷体" w:eastAsia="楷体"/>
                      <w:sz w:val="24"/>
                      <w:szCs w:val="24"/>
                    </w:rPr>
                    <w:t>100%</w:t>
                  </w:r>
                </w:p>
                <w:p>
                  <w:pPr>
                    <w:rPr>
                      <w:rFonts w:ascii="楷体" w:hAnsi="楷体" w:eastAsia="楷体"/>
                      <w:sz w:val="24"/>
                      <w:szCs w:val="24"/>
                    </w:rPr>
                  </w:pP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合同履约率</w:t>
                  </w:r>
                  <w:r>
                    <w:rPr>
                      <w:rFonts w:ascii="楷体" w:hAnsi="楷体" w:eastAsia="楷体"/>
                      <w:color w:val="000000"/>
                      <w:sz w:val="24"/>
                      <w:szCs w:val="24"/>
                    </w:rPr>
                    <w:t>100%</w:t>
                  </w:r>
                </w:p>
              </w:tc>
              <w:tc>
                <w:tcPr>
                  <w:tcW w:w="1058" w:type="dxa"/>
                  <w:tcBorders>
                    <w:top w:val="single" w:color="auto" w:sz="4" w:space="0"/>
                    <w:left w:val="single" w:color="auto" w:sz="4" w:space="0"/>
                    <w:bottom w:val="single" w:color="auto" w:sz="4" w:space="0"/>
                    <w:right w:val="single" w:color="auto" w:sz="4" w:space="0"/>
                  </w:tcBorders>
                </w:tcPr>
                <w:p>
                  <w:pPr>
                    <w:ind w:firstLine="120" w:firstLineChars="50"/>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顾客满意度达</w:t>
                  </w:r>
                  <w:r>
                    <w:rPr>
                      <w:rFonts w:ascii="楷体" w:hAnsi="楷体" w:eastAsia="楷体"/>
                      <w:color w:val="000000"/>
                      <w:sz w:val="24"/>
                      <w:szCs w:val="24"/>
                    </w:rPr>
                    <w:t>95</w:t>
                  </w:r>
                  <w:r>
                    <w:rPr>
                      <w:rFonts w:hint="eastAsia" w:ascii="楷体" w:hAnsi="楷体" w:eastAsia="楷体"/>
                      <w:color w:val="000000"/>
                      <w:sz w:val="24"/>
                      <w:szCs w:val="24"/>
                    </w:rPr>
                    <w:t>分</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执行顾客满意度调查分析</w:t>
                  </w:r>
                </w:p>
                <w:p>
                  <w:pPr>
                    <w:rPr>
                      <w:rFonts w:ascii="楷体" w:hAnsi="楷体" w:eastAsia="楷体"/>
                      <w:sz w:val="24"/>
                      <w:szCs w:val="24"/>
                    </w:rPr>
                  </w:pPr>
                  <w:r>
                    <w:rPr>
                      <w:rFonts w:hint="eastAsia" w:ascii="楷体" w:hAnsi="楷体" w:eastAsia="楷体"/>
                      <w:sz w:val="24"/>
                      <w:szCs w:val="24"/>
                    </w:rPr>
                    <w:t>评定数÷总数×</w:t>
                  </w:r>
                  <w:r>
                    <w:rPr>
                      <w:rFonts w:ascii="楷体" w:hAnsi="楷体" w:eastAsia="楷体"/>
                      <w:sz w:val="24"/>
                      <w:szCs w:val="24"/>
                    </w:rPr>
                    <w:t>100%</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顾客满意度</w:t>
                  </w:r>
                  <w:r>
                    <w:rPr>
                      <w:rFonts w:ascii="楷体" w:hAnsi="楷体" w:eastAsia="楷体"/>
                      <w:color w:val="000000"/>
                      <w:sz w:val="24"/>
                      <w:szCs w:val="24"/>
                    </w:rPr>
                    <w:t>9</w:t>
                  </w:r>
                  <w:r>
                    <w:rPr>
                      <w:rFonts w:hint="eastAsia" w:ascii="楷体" w:hAnsi="楷体" w:eastAsia="楷体"/>
                      <w:color w:val="000000"/>
                      <w:sz w:val="24"/>
                      <w:szCs w:val="24"/>
                      <w:lang w:val="en-US" w:eastAsia="zh-CN"/>
                    </w:rPr>
                    <w:t>8</w:t>
                  </w:r>
                  <w:r>
                    <w:rPr>
                      <w:rFonts w:hint="eastAsia" w:ascii="楷体" w:hAnsi="楷体" w:eastAsia="楷体"/>
                      <w:color w:val="000000"/>
                      <w:sz w:val="24"/>
                      <w:szCs w:val="24"/>
                    </w:rPr>
                    <w:t>分</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autoSpaceDE w:val="0"/>
                    <w:autoSpaceDN w:val="0"/>
                    <w:rPr>
                      <w:rFonts w:ascii="楷体" w:hAnsi="楷体" w:eastAsia="楷体" w:cs="AdobeSongStd-Light"/>
                      <w:sz w:val="24"/>
                      <w:szCs w:val="24"/>
                    </w:rPr>
                  </w:pPr>
                  <w:r>
                    <w:rPr>
                      <w:rFonts w:hint="eastAsia" w:ascii="楷体" w:hAnsi="楷体" w:eastAsia="楷体" w:cs="AdobeSongStd-Light"/>
                      <w:sz w:val="24"/>
                      <w:szCs w:val="24"/>
                    </w:rPr>
                    <w:t>固废分类</w:t>
                  </w:r>
                  <w:r>
                    <w:rPr>
                      <w:rFonts w:hint="eastAsia" w:ascii="楷体" w:hAnsi="楷体" w:eastAsia="楷体"/>
                      <w:sz w:val="24"/>
                      <w:szCs w:val="24"/>
                    </w:rPr>
                    <w:t>处置率</w:t>
                  </w:r>
                  <w:r>
                    <w:rPr>
                      <w:rFonts w:ascii="楷体" w:hAnsi="楷体" w:eastAsia="楷体"/>
                      <w:sz w:val="24"/>
                      <w:szCs w:val="24"/>
                    </w:rPr>
                    <w:t>100%</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符合数量÷检查数量×</w:t>
                  </w:r>
                  <w:r>
                    <w:rPr>
                      <w:rFonts w:ascii="楷体" w:hAnsi="楷体" w:eastAsia="楷体"/>
                      <w:sz w:val="24"/>
                      <w:szCs w:val="24"/>
                    </w:rPr>
                    <w:t>100%</w:t>
                  </w:r>
                  <w:r>
                    <w:rPr>
                      <w:rFonts w:hint="eastAsia" w:ascii="楷体" w:hAnsi="楷体" w:eastAsia="楷体"/>
                      <w:sz w:val="24"/>
                      <w:szCs w:val="24"/>
                    </w:rPr>
                    <w:t>。</w:t>
                  </w:r>
                </w:p>
              </w:tc>
              <w:tc>
                <w:tcPr>
                  <w:tcW w:w="2038" w:type="dxa"/>
                  <w:tcBorders>
                    <w:top w:val="single" w:color="auto" w:sz="4" w:space="0"/>
                    <w:left w:val="single" w:color="auto" w:sz="4" w:space="0"/>
                    <w:bottom w:val="single" w:color="auto" w:sz="4" w:space="0"/>
                    <w:right w:val="single" w:color="auto" w:sz="4" w:space="0"/>
                  </w:tcBorders>
                </w:tcPr>
                <w:p>
                  <w:pPr>
                    <w:autoSpaceDE w:val="0"/>
                    <w:autoSpaceDN w:val="0"/>
                    <w:rPr>
                      <w:rFonts w:ascii="楷体" w:hAnsi="楷体" w:eastAsia="楷体" w:cs="AdobeSongStd-Light"/>
                      <w:sz w:val="24"/>
                      <w:szCs w:val="24"/>
                    </w:rPr>
                  </w:pPr>
                  <w:r>
                    <w:rPr>
                      <w:rFonts w:hint="eastAsia" w:ascii="楷体" w:hAnsi="楷体" w:eastAsia="楷体" w:cs="AdobeSongStd-Light"/>
                      <w:sz w:val="24"/>
                      <w:szCs w:val="24"/>
                    </w:rPr>
                    <w:t>固废分类</w:t>
                  </w:r>
                  <w:r>
                    <w:rPr>
                      <w:rFonts w:hint="eastAsia" w:ascii="楷体" w:hAnsi="楷体" w:eastAsia="楷体"/>
                      <w:sz w:val="24"/>
                      <w:szCs w:val="24"/>
                    </w:rPr>
                    <w:t>处置率</w:t>
                  </w:r>
                  <w:r>
                    <w:rPr>
                      <w:rFonts w:ascii="楷体" w:hAnsi="楷体" w:eastAsia="楷体"/>
                      <w:sz w:val="24"/>
                      <w:szCs w:val="24"/>
                    </w:rPr>
                    <w:t>100%</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autoSpaceDE w:val="0"/>
                    <w:autoSpaceDN w:val="0"/>
                    <w:rPr>
                      <w:rFonts w:ascii="楷体" w:hAnsi="楷体" w:eastAsia="楷体" w:cs="AdobeSongStd-Light"/>
                      <w:sz w:val="24"/>
                      <w:szCs w:val="24"/>
                    </w:rPr>
                  </w:pPr>
                  <w:r>
                    <w:rPr>
                      <w:rFonts w:hint="eastAsia" w:ascii="楷体" w:hAnsi="楷体" w:eastAsia="楷体" w:cs="AdobeSongStd-Light"/>
                      <w:sz w:val="24"/>
                      <w:szCs w:val="24"/>
                    </w:rPr>
                    <w:t>火灾、触电事故发生次数为</w:t>
                  </w:r>
                  <w:r>
                    <w:rPr>
                      <w:rFonts w:ascii="楷体" w:hAnsi="楷体" w:eastAsia="楷体" w:cs="Arial"/>
                      <w:sz w:val="24"/>
                      <w:szCs w:val="24"/>
                    </w:rPr>
                    <w:t>0</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查看触电、火灾事故记录</w:t>
                  </w:r>
                </w:p>
              </w:tc>
              <w:tc>
                <w:tcPr>
                  <w:tcW w:w="2038" w:type="dxa"/>
                  <w:tcBorders>
                    <w:top w:val="single" w:color="auto" w:sz="4" w:space="0"/>
                    <w:left w:val="single" w:color="auto" w:sz="4" w:space="0"/>
                    <w:bottom w:val="single" w:color="auto" w:sz="4" w:space="0"/>
                    <w:right w:val="single" w:color="auto" w:sz="4" w:space="0"/>
                  </w:tcBorders>
                </w:tcPr>
                <w:p>
                  <w:pPr>
                    <w:autoSpaceDE w:val="0"/>
                    <w:autoSpaceDN w:val="0"/>
                    <w:rPr>
                      <w:rFonts w:ascii="楷体" w:hAnsi="楷体" w:eastAsia="楷体" w:cs="AdobeSongStd-Light"/>
                      <w:sz w:val="24"/>
                      <w:szCs w:val="24"/>
                    </w:rPr>
                  </w:pPr>
                  <w:r>
                    <w:rPr>
                      <w:rFonts w:hint="eastAsia" w:ascii="楷体" w:hAnsi="楷体" w:eastAsia="楷体" w:cs="AdobeSongStd-Light"/>
                      <w:sz w:val="24"/>
                      <w:szCs w:val="24"/>
                    </w:rPr>
                    <w:t>火灾、触电事故</w:t>
                  </w:r>
                  <w:r>
                    <w:rPr>
                      <w:rFonts w:ascii="楷体" w:hAnsi="楷体" w:eastAsia="楷体" w:cs="Arial"/>
                      <w:sz w:val="24"/>
                      <w:szCs w:val="24"/>
                    </w:rPr>
                    <w:t>0</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8" w:type="dxa"/>
                  <w:vMerge w:val="restart"/>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采购部</w:t>
                  </w: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24"/>
                      <w:szCs w:val="24"/>
                    </w:rPr>
                  </w:pPr>
                  <w:r>
                    <w:rPr>
                      <w:rFonts w:hint="eastAsia" w:ascii="楷体" w:hAnsi="楷体" w:eastAsia="楷体"/>
                      <w:color w:val="000000"/>
                      <w:sz w:val="24"/>
                      <w:szCs w:val="24"/>
                    </w:rPr>
                    <w:t>供方评定合格率</w:t>
                  </w:r>
                  <w:r>
                    <w:rPr>
                      <w:rFonts w:ascii="楷体" w:hAnsi="楷体" w:eastAsia="楷体"/>
                      <w:color w:val="000000"/>
                      <w:sz w:val="24"/>
                      <w:szCs w:val="24"/>
                    </w:rPr>
                    <w:t>100%</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合格数量÷检查总数量×</w:t>
                  </w:r>
                  <w:r>
                    <w:rPr>
                      <w:rFonts w:ascii="楷体" w:hAnsi="楷体" w:eastAsia="楷体"/>
                      <w:sz w:val="24"/>
                      <w:szCs w:val="24"/>
                    </w:rPr>
                    <w:t>100%</w:t>
                  </w:r>
                  <w:r>
                    <w:rPr>
                      <w:rFonts w:hint="eastAsia" w:ascii="楷体" w:hAnsi="楷体" w:eastAsia="楷体"/>
                      <w:sz w:val="24"/>
                      <w:szCs w:val="24"/>
                    </w:rPr>
                    <w:t>。</w:t>
                  </w:r>
                </w:p>
                <w:p>
                  <w:pPr>
                    <w:rPr>
                      <w:rFonts w:ascii="楷体" w:hAnsi="楷体" w:eastAsia="楷体"/>
                      <w:sz w:val="24"/>
                      <w:szCs w:val="24"/>
                    </w:rPr>
                  </w:pP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24"/>
                      <w:szCs w:val="24"/>
                    </w:rPr>
                  </w:pPr>
                  <w:r>
                    <w:rPr>
                      <w:rFonts w:hint="eastAsia" w:ascii="楷体" w:hAnsi="楷体" w:eastAsia="楷体"/>
                      <w:color w:val="000000"/>
                      <w:sz w:val="24"/>
                      <w:szCs w:val="24"/>
                    </w:rPr>
                    <w:t>供方评定合格</w:t>
                  </w:r>
                  <w:r>
                    <w:rPr>
                      <w:rFonts w:ascii="楷体" w:hAnsi="楷体" w:eastAsia="楷体"/>
                      <w:color w:val="000000"/>
                      <w:sz w:val="24"/>
                      <w:szCs w:val="24"/>
                    </w:rPr>
                    <w:t>100%</w:t>
                  </w:r>
                </w:p>
              </w:tc>
              <w:tc>
                <w:tcPr>
                  <w:tcW w:w="1058" w:type="dxa"/>
                  <w:tcBorders>
                    <w:top w:val="single" w:color="auto" w:sz="4" w:space="0"/>
                    <w:left w:val="single" w:color="auto" w:sz="4" w:space="0"/>
                    <w:bottom w:val="single" w:color="auto" w:sz="4" w:space="0"/>
                    <w:right w:val="single" w:color="auto" w:sz="4" w:space="0"/>
                  </w:tcBorders>
                </w:tcPr>
                <w:p>
                  <w:pPr>
                    <w:ind w:firstLine="120" w:firstLineChars="50"/>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bookmarkStart w:id="1" w:name="_Hlk512436523"/>
                </w:p>
              </w:tc>
              <w:tc>
                <w:tcPr>
                  <w:tcW w:w="2626" w:type="dxa"/>
                  <w:tcBorders>
                    <w:top w:val="single" w:color="auto" w:sz="4" w:space="0"/>
                    <w:left w:val="single" w:color="auto" w:sz="4" w:space="0"/>
                    <w:bottom w:val="single" w:color="auto" w:sz="4" w:space="0"/>
                    <w:right w:val="single" w:color="auto" w:sz="4" w:space="0"/>
                  </w:tcBorders>
                </w:tcPr>
                <w:p>
                  <w:pPr>
                    <w:autoSpaceDE w:val="0"/>
                    <w:autoSpaceDN w:val="0"/>
                    <w:rPr>
                      <w:rFonts w:ascii="楷体" w:hAnsi="楷体" w:eastAsia="楷体" w:cs="AdobeSongStd-Light"/>
                      <w:sz w:val="24"/>
                      <w:szCs w:val="24"/>
                    </w:rPr>
                  </w:pPr>
                  <w:r>
                    <w:rPr>
                      <w:rFonts w:hint="eastAsia" w:ascii="楷体" w:hAnsi="楷体" w:eastAsia="楷体" w:cs="AdobeSongStd-Light"/>
                      <w:sz w:val="24"/>
                      <w:szCs w:val="24"/>
                    </w:rPr>
                    <w:t>固废分类</w:t>
                  </w:r>
                  <w:r>
                    <w:rPr>
                      <w:rFonts w:hint="eastAsia" w:ascii="楷体" w:hAnsi="楷体" w:eastAsia="楷体"/>
                      <w:sz w:val="24"/>
                      <w:szCs w:val="24"/>
                    </w:rPr>
                    <w:t>处置率</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符合数量÷检查数量×</w:t>
                  </w:r>
                  <w:r>
                    <w:rPr>
                      <w:rFonts w:ascii="楷体" w:hAnsi="楷体" w:eastAsia="楷体"/>
                      <w:sz w:val="24"/>
                      <w:szCs w:val="24"/>
                    </w:rPr>
                    <w:t>100%</w:t>
                  </w:r>
                  <w:r>
                    <w:rPr>
                      <w:rFonts w:hint="eastAsia" w:ascii="楷体" w:hAnsi="楷体" w:eastAsia="楷体"/>
                      <w:sz w:val="24"/>
                      <w:szCs w:val="24"/>
                    </w:rPr>
                    <w:t>。</w:t>
                  </w:r>
                </w:p>
              </w:tc>
              <w:tc>
                <w:tcPr>
                  <w:tcW w:w="2038" w:type="dxa"/>
                  <w:tcBorders>
                    <w:top w:val="single" w:color="auto" w:sz="4" w:space="0"/>
                    <w:left w:val="single" w:color="auto" w:sz="4" w:space="0"/>
                    <w:bottom w:val="single" w:color="auto" w:sz="4" w:space="0"/>
                    <w:right w:val="single" w:color="auto" w:sz="4" w:space="0"/>
                  </w:tcBorders>
                </w:tcPr>
                <w:p>
                  <w:pPr>
                    <w:autoSpaceDE w:val="0"/>
                    <w:autoSpaceDN w:val="0"/>
                    <w:rPr>
                      <w:rFonts w:ascii="楷体" w:hAnsi="楷体" w:eastAsia="楷体" w:cs="AdobeSongStd-Light"/>
                      <w:sz w:val="24"/>
                      <w:szCs w:val="24"/>
                    </w:rPr>
                  </w:pPr>
                  <w:r>
                    <w:rPr>
                      <w:rFonts w:hint="eastAsia" w:ascii="楷体" w:hAnsi="楷体" w:eastAsia="楷体" w:cs="AdobeSongStd-Light"/>
                      <w:sz w:val="24"/>
                      <w:szCs w:val="24"/>
                    </w:rPr>
                    <w:t>固废分类处置率</w:t>
                  </w:r>
                  <w:r>
                    <w:rPr>
                      <w:rFonts w:ascii="楷体" w:hAnsi="楷体" w:eastAsia="楷体" w:cs="AdobeSongStd-Light"/>
                      <w:sz w:val="24"/>
                      <w:szCs w:val="24"/>
                    </w:rPr>
                    <w:t>100%</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autoSpaceDE w:val="0"/>
                    <w:autoSpaceDN w:val="0"/>
                    <w:rPr>
                      <w:rFonts w:ascii="楷体" w:hAnsi="楷体" w:eastAsia="楷体" w:cs="AdobeSongStd-Light"/>
                      <w:sz w:val="24"/>
                      <w:szCs w:val="24"/>
                    </w:rPr>
                  </w:pPr>
                  <w:r>
                    <w:rPr>
                      <w:rFonts w:hint="eastAsia" w:ascii="楷体" w:hAnsi="楷体" w:eastAsia="楷体" w:cs="AdobeSongStd-Light"/>
                      <w:sz w:val="24"/>
                      <w:szCs w:val="24"/>
                    </w:rPr>
                    <w:t>火灾、触电事故发生次数为</w:t>
                  </w:r>
                  <w:r>
                    <w:rPr>
                      <w:rFonts w:ascii="楷体" w:hAnsi="楷体" w:eastAsia="楷体" w:cs="Arial"/>
                      <w:sz w:val="24"/>
                      <w:szCs w:val="24"/>
                    </w:rPr>
                    <w:t>0</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查看触电、火灾事故记录</w:t>
                  </w:r>
                </w:p>
                <w:p>
                  <w:pPr>
                    <w:rPr>
                      <w:rFonts w:ascii="楷体" w:hAnsi="楷体" w:eastAsia="楷体"/>
                      <w:sz w:val="24"/>
                      <w:szCs w:val="24"/>
                    </w:rPr>
                  </w:pPr>
                </w:p>
              </w:tc>
              <w:tc>
                <w:tcPr>
                  <w:tcW w:w="2038" w:type="dxa"/>
                  <w:tcBorders>
                    <w:top w:val="single" w:color="auto" w:sz="4" w:space="0"/>
                    <w:left w:val="single" w:color="auto" w:sz="4" w:space="0"/>
                    <w:bottom w:val="single" w:color="auto" w:sz="4" w:space="0"/>
                    <w:right w:val="single" w:color="auto" w:sz="4" w:space="0"/>
                  </w:tcBorders>
                </w:tcPr>
                <w:p>
                  <w:pPr>
                    <w:autoSpaceDE w:val="0"/>
                    <w:autoSpaceDN w:val="0"/>
                    <w:rPr>
                      <w:rFonts w:ascii="楷体" w:hAnsi="楷体" w:eastAsia="楷体" w:cs="AdobeSongStd-Light"/>
                      <w:sz w:val="24"/>
                      <w:szCs w:val="24"/>
                    </w:rPr>
                  </w:pPr>
                  <w:r>
                    <w:rPr>
                      <w:rFonts w:hint="eastAsia" w:ascii="楷体" w:hAnsi="楷体" w:eastAsia="楷体" w:cs="AdobeSongStd-Light"/>
                      <w:sz w:val="24"/>
                      <w:szCs w:val="24"/>
                    </w:rPr>
                    <w:t>没有发生事故</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8" w:type="dxa"/>
                  <w:vMerge w:val="restart"/>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生产部</w:t>
                  </w:r>
                </w:p>
                <w:p>
                  <w:pPr>
                    <w:jc w:val="center"/>
                    <w:rPr>
                      <w:rFonts w:ascii="楷体" w:hAnsi="楷体" w:eastAsia="楷体"/>
                      <w:sz w:val="24"/>
                      <w:szCs w:val="24"/>
                    </w:rPr>
                  </w:pPr>
                </w:p>
                <w:p>
                  <w:pPr>
                    <w:jc w:val="center"/>
                    <w:rPr>
                      <w:rFonts w:ascii="楷体" w:hAnsi="楷体" w:eastAsia="楷体"/>
                      <w:sz w:val="24"/>
                      <w:szCs w:val="24"/>
                    </w:rPr>
                  </w:pPr>
                </w:p>
                <w:p>
                  <w:pPr>
                    <w:jc w:val="center"/>
                    <w:rPr>
                      <w:rFonts w:ascii="楷体" w:hAnsi="楷体" w:eastAsia="楷体"/>
                      <w:sz w:val="24"/>
                      <w:szCs w:val="24"/>
                    </w:rPr>
                  </w:pPr>
                </w:p>
                <w:p>
                  <w:pPr>
                    <w:jc w:val="center"/>
                    <w:rPr>
                      <w:rFonts w:ascii="楷体" w:hAnsi="楷体" w:eastAsia="楷体"/>
                      <w:sz w:val="24"/>
                      <w:szCs w:val="24"/>
                    </w:rPr>
                  </w:pPr>
                </w:p>
                <w:p>
                  <w:pPr>
                    <w:jc w:val="center"/>
                    <w:rPr>
                      <w:rFonts w:ascii="楷体" w:hAnsi="楷体" w:eastAsia="楷体"/>
                      <w:sz w:val="24"/>
                      <w:szCs w:val="24"/>
                    </w:rPr>
                  </w:pPr>
                </w:p>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24"/>
                      <w:szCs w:val="24"/>
                    </w:rPr>
                  </w:pPr>
                  <w:r>
                    <w:rPr>
                      <w:rFonts w:hint="eastAsia" w:ascii="楷体" w:hAnsi="楷体" w:eastAsia="楷体"/>
                      <w:sz w:val="24"/>
                      <w:szCs w:val="24"/>
                    </w:rPr>
                    <w:t>产品一次交验合格率</w:t>
                  </w:r>
                  <w:r>
                    <w:rPr>
                      <w:rFonts w:ascii="楷体" w:hAnsi="楷体" w:eastAsia="楷体"/>
                      <w:sz w:val="24"/>
                      <w:szCs w:val="24"/>
                    </w:rPr>
                    <w:t xml:space="preserve">97% </w:t>
                  </w:r>
                  <w:r>
                    <w:rPr>
                      <w:rFonts w:hint="eastAsia" w:ascii="楷体" w:hAnsi="楷体" w:eastAsia="楷体"/>
                      <w:sz w:val="24"/>
                      <w:szCs w:val="24"/>
                    </w:rPr>
                    <w:t>以上</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查看检验记录</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24"/>
                      <w:szCs w:val="24"/>
                    </w:rPr>
                  </w:pPr>
                  <w:r>
                    <w:rPr>
                      <w:rFonts w:hint="eastAsia" w:ascii="楷体" w:hAnsi="楷体" w:eastAsia="楷体"/>
                      <w:sz w:val="24"/>
                      <w:szCs w:val="24"/>
                    </w:rPr>
                    <w:t>产品一次交验合格率</w:t>
                  </w:r>
                  <w:r>
                    <w:rPr>
                      <w:rFonts w:ascii="楷体" w:hAnsi="楷体" w:eastAsia="楷体"/>
                      <w:sz w:val="24"/>
                      <w:szCs w:val="24"/>
                    </w:rPr>
                    <w:t xml:space="preserve">100% </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生产设备设施完好率</w:t>
                  </w:r>
                  <w:r>
                    <w:rPr>
                      <w:rFonts w:ascii="楷体" w:hAnsi="楷体" w:eastAsia="楷体"/>
                      <w:color w:val="000000"/>
                      <w:sz w:val="24"/>
                      <w:szCs w:val="24"/>
                    </w:rPr>
                    <w:t>97%</w:t>
                  </w:r>
                  <w:r>
                    <w:rPr>
                      <w:rFonts w:hint="eastAsia" w:ascii="楷体" w:hAnsi="楷体" w:eastAsia="楷体"/>
                      <w:color w:val="000000"/>
                      <w:sz w:val="24"/>
                      <w:szCs w:val="24"/>
                    </w:rPr>
                    <w:t>以上</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完好数÷总数×</w:t>
                  </w:r>
                  <w:r>
                    <w:rPr>
                      <w:rFonts w:ascii="楷体" w:hAnsi="楷体" w:eastAsia="楷体"/>
                      <w:sz w:val="24"/>
                      <w:szCs w:val="24"/>
                    </w:rPr>
                    <w:t>100%</w:t>
                  </w:r>
                </w:p>
                <w:p>
                  <w:pPr>
                    <w:rPr>
                      <w:rFonts w:ascii="楷体" w:hAnsi="楷体" w:eastAsia="楷体"/>
                      <w:sz w:val="24"/>
                      <w:szCs w:val="24"/>
                    </w:rPr>
                  </w:pPr>
                  <w:r>
                    <w:rPr>
                      <w:rFonts w:hint="eastAsia" w:ascii="楷体" w:hAnsi="楷体" w:eastAsia="楷体"/>
                      <w:sz w:val="24"/>
                      <w:szCs w:val="24"/>
                    </w:rPr>
                    <w:t>合格数÷总数×</w:t>
                  </w:r>
                  <w:r>
                    <w:rPr>
                      <w:rFonts w:ascii="楷体" w:hAnsi="楷体" w:eastAsia="楷体"/>
                      <w:sz w:val="24"/>
                      <w:szCs w:val="24"/>
                    </w:rPr>
                    <w:t>100%</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color w:val="000000"/>
                      <w:sz w:val="24"/>
                      <w:szCs w:val="24"/>
                    </w:rPr>
                    <w:t>生产设备设施完好率</w:t>
                  </w:r>
                  <w:r>
                    <w:rPr>
                      <w:rFonts w:ascii="楷体" w:hAnsi="楷体" w:eastAsia="楷体"/>
                      <w:color w:val="000000"/>
                      <w:sz w:val="24"/>
                      <w:szCs w:val="24"/>
                    </w:rPr>
                    <w:t>100%</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24"/>
                      <w:szCs w:val="24"/>
                    </w:rPr>
                  </w:pPr>
                  <w:r>
                    <w:rPr>
                      <w:rFonts w:hint="eastAsia" w:ascii="楷体" w:hAnsi="楷体" w:eastAsia="楷体"/>
                      <w:color w:val="000000"/>
                      <w:sz w:val="24"/>
                      <w:szCs w:val="24"/>
                    </w:rPr>
                    <w:t>职业病发病为</w:t>
                  </w:r>
                  <w:r>
                    <w:rPr>
                      <w:rFonts w:ascii="楷体" w:hAnsi="楷体" w:eastAsia="楷体"/>
                      <w:color w:val="000000"/>
                      <w:sz w:val="24"/>
                      <w:szCs w:val="24"/>
                    </w:rPr>
                    <w:t>0</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查看职业健康体检报告</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24"/>
                      <w:szCs w:val="24"/>
                    </w:rPr>
                  </w:pPr>
                  <w:r>
                    <w:rPr>
                      <w:rFonts w:hint="eastAsia" w:ascii="楷体" w:hAnsi="楷体" w:eastAsia="楷体"/>
                      <w:color w:val="000000"/>
                      <w:sz w:val="24"/>
                      <w:szCs w:val="24"/>
                    </w:rPr>
                    <w:t>没有发生职业病</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24"/>
                      <w:szCs w:val="24"/>
                    </w:rPr>
                  </w:pPr>
                  <w:r>
                    <w:rPr>
                      <w:rFonts w:hint="eastAsia" w:ascii="楷体" w:hAnsi="楷体" w:eastAsia="楷体"/>
                      <w:sz w:val="24"/>
                      <w:szCs w:val="24"/>
                    </w:rPr>
                    <w:t>杜绝火灾、触电事故、高温灼伤、机械伤害</w:t>
                  </w:r>
                  <w:r>
                    <w:rPr>
                      <w:rFonts w:ascii="楷体" w:hAnsi="楷体" w:eastAsia="楷体"/>
                      <w:sz w:val="24"/>
                      <w:szCs w:val="24"/>
                    </w:rPr>
                    <w:t xml:space="preserve">   </w:t>
                  </w:r>
                  <w:r>
                    <w:rPr>
                      <w:rFonts w:hint="eastAsia" w:ascii="楷体" w:hAnsi="楷体" w:eastAsia="楷体"/>
                      <w:sz w:val="24"/>
                      <w:szCs w:val="24"/>
                    </w:rPr>
                    <w:t>（火灾、触电、高温灼伤、机械伤害事故为</w:t>
                  </w:r>
                  <w:r>
                    <w:rPr>
                      <w:rFonts w:ascii="楷体" w:hAnsi="楷体" w:eastAsia="楷体"/>
                      <w:sz w:val="24"/>
                      <w:szCs w:val="24"/>
                    </w:rPr>
                    <w:t>0.</w:t>
                  </w:r>
                  <w:r>
                    <w:rPr>
                      <w:rFonts w:hint="eastAsia" w:ascii="楷体" w:hAnsi="楷体" w:eastAsia="楷体"/>
                      <w:sz w:val="24"/>
                      <w:szCs w:val="24"/>
                    </w:rPr>
                    <w:t>）</w:t>
                  </w:r>
                  <w:r>
                    <w:rPr>
                      <w:rFonts w:hint="eastAsia" w:ascii="楷体" w:hAnsi="楷体" w:eastAsia="楷体"/>
                      <w:color w:val="000000"/>
                      <w:sz w:val="24"/>
                      <w:szCs w:val="24"/>
                    </w:rPr>
                    <w:t>；</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查看触电、火灾、</w:t>
                  </w:r>
                  <w:r>
                    <w:rPr>
                      <w:rFonts w:hint="eastAsia" w:ascii="楷体" w:hAnsi="楷体" w:eastAsia="楷体"/>
                      <w:color w:val="000000"/>
                      <w:sz w:val="24"/>
                      <w:szCs w:val="24"/>
                    </w:rPr>
                    <w:t>机械伤害、高空堕落</w:t>
                  </w:r>
                  <w:r>
                    <w:rPr>
                      <w:rFonts w:hint="eastAsia" w:ascii="楷体" w:hAnsi="楷体" w:eastAsia="楷体"/>
                      <w:sz w:val="24"/>
                      <w:szCs w:val="24"/>
                    </w:rPr>
                    <w:t>事故记录</w:t>
                  </w:r>
                </w:p>
                <w:p>
                  <w:pPr>
                    <w:rPr>
                      <w:rFonts w:ascii="楷体" w:hAnsi="楷体" w:eastAsia="楷体"/>
                      <w:sz w:val="24"/>
                      <w:szCs w:val="24"/>
                    </w:rPr>
                  </w:pP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color w:val="000000"/>
                      <w:sz w:val="24"/>
                      <w:szCs w:val="24"/>
                    </w:rPr>
                  </w:pPr>
                  <w:r>
                    <w:rPr>
                      <w:rFonts w:hint="eastAsia" w:ascii="楷体" w:hAnsi="楷体" w:eastAsia="楷体"/>
                      <w:color w:val="000000"/>
                      <w:sz w:val="24"/>
                      <w:szCs w:val="24"/>
                    </w:rPr>
                    <w:t>没有发生火灾、触电、高温灼伤、机械伤害事故</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合理处置固体废弃物；</w:t>
                  </w:r>
                </w:p>
                <w:p>
                  <w:pPr>
                    <w:rPr>
                      <w:rFonts w:ascii="楷体" w:hAnsi="楷体" w:eastAsia="楷体"/>
                      <w:sz w:val="24"/>
                      <w:szCs w:val="24"/>
                    </w:rPr>
                  </w:pPr>
                  <w:r>
                    <w:rPr>
                      <w:rFonts w:hint="eastAsia" w:ascii="楷体" w:hAnsi="楷体" w:eastAsia="楷体"/>
                      <w:sz w:val="24"/>
                      <w:szCs w:val="24"/>
                    </w:rPr>
                    <w:t>固废分类处置率</w:t>
                  </w:r>
                  <w:r>
                    <w:rPr>
                      <w:rFonts w:ascii="楷体" w:hAnsi="楷体" w:eastAsia="楷体"/>
                      <w:sz w:val="24"/>
                      <w:szCs w:val="24"/>
                    </w:rPr>
                    <w:t>100%</w:t>
                  </w:r>
                  <w:r>
                    <w:rPr>
                      <w:rFonts w:hint="eastAsia" w:ascii="楷体" w:hAnsi="楷体" w:eastAsia="楷体"/>
                      <w:sz w:val="24"/>
                      <w:szCs w:val="24"/>
                    </w:rPr>
                    <w:t>；</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符合数量÷检查数量×</w:t>
                  </w:r>
                  <w:r>
                    <w:rPr>
                      <w:rFonts w:ascii="楷体" w:hAnsi="楷体" w:eastAsia="楷体"/>
                      <w:sz w:val="24"/>
                      <w:szCs w:val="24"/>
                    </w:rPr>
                    <w:t>100%</w:t>
                  </w:r>
                  <w:r>
                    <w:rPr>
                      <w:rFonts w:hint="eastAsia" w:ascii="楷体" w:hAnsi="楷体" w:eastAsia="楷体"/>
                      <w:sz w:val="24"/>
                      <w:szCs w:val="24"/>
                    </w:rPr>
                    <w:t>。</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固废分类处置</w:t>
                  </w:r>
                  <w:r>
                    <w:rPr>
                      <w:rFonts w:ascii="楷体" w:hAnsi="楷体" w:eastAsia="楷体"/>
                      <w:sz w:val="24"/>
                      <w:szCs w:val="24"/>
                    </w:rPr>
                    <w:t>100%</w:t>
                  </w:r>
                  <w:r>
                    <w:rPr>
                      <w:rFonts w:hint="eastAsia" w:ascii="楷体" w:hAnsi="楷体" w:eastAsia="楷体"/>
                      <w:sz w:val="24"/>
                      <w:szCs w:val="24"/>
                    </w:rPr>
                    <w:t>；</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已经完成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c>
                <w:tcPr>
                  <w:tcW w:w="26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厂界噪声达标排放（≤</w:t>
                  </w:r>
                  <w:r>
                    <w:rPr>
                      <w:rFonts w:ascii="楷体" w:hAnsi="楷体" w:eastAsia="楷体"/>
                      <w:sz w:val="24"/>
                      <w:szCs w:val="24"/>
                    </w:rPr>
                    <w:t>65dB</w:t>
                  </w:r>
                  <w:r>
                    <w:rPr>
                      <w:rFonts w:hint="eastAsia" w:ascii="楷体" w:hAnsi="楷体" w:eastAsia="楷体"/>
                      <w:sz w:val="24"/>
                      <w:szCs w:val="24"/>
                    </w:rPr>
                    <w:t>（昼）、≤</w:t>
                  </w:r>
                  <w:r>
                    <w:rPr>
                      <w:rFonts w:ascii="楷体" w:hAnsi="楷体" w:eastAsia="楷体"/>
                      <w:sz w:val="24"/>
                      <w:szCs w:val="24"/>
                    </w:rPr>
                    <w:t>55dB</w:t>
                  </w:r>
                  <w:r>
                    <w:rPr>
                      <w:rFonts w:hint="eastAsia" w:ascii="楷体" w:hAnsi="楷体" w:eastAsia="楷体"/>
                      <w:sz w:val="24"/>
                      <w:szCs w:val="24"/>
                    </w:rPr>
                    <w:t>（夜）</w:t>
                  </w:r>
                  <w:r>
                    <w:rPr>
                      <w:rFonts w:ascii="楷体" w:hAnsi="楷体" w:eastAsia="楷体"/>
                      <w:sz w:val="24"/>
                      <w:szCs w:val="24"/>
                    </w:rPr>
                    <w:t>.</w:t>
                  </w:r>
                </w:p>
              </w:tc>
              <w:tc>
                <w:tcPr>
                  <w:tcW w:w="2826"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使用低噪声工器具，施工地点远离居民区。</w:t>
                  </w:r>
                </w:p>
              </w:tc>
              <w:tc>
                <w:tcPr>
                  <w:tcW w:w="2038" w:type="dxa"/>
                  <w:tcBorders>
                    <w:top w:val="single" w:color="auto" w:sz="4" w:space="0"/>
                    <w:left w:val="single" w:color="auto" w:sz="4" w:space="0"/>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厂界噪声达标排放（≤</w:t>
                  </w:r>
                  <w:r>
                    <w:rPr>
                      <w:rFonts w:ascii="楷体" w:hAnsi="楷体" w:eastAsia="楷体"/>
                      <w:sz w:val="24"/>
                      <w:szCs w:val="24"/>
                    </w:rPr>
                    <w:t>65dB</w:t>
                  </w:r>
                  <w:r>
                    <w:rPr>
                      <w:rFonts w:hint="eastAsia" w:ascii="楷体" w:hAnsi="楷体" w:eastAsia="楷体"/>
                      <w:sz w:val="24"/>
                      <w:szCs w:val="24"/>
                    </w:rPr>
                    <w:t>（昼）、≤</w:t>
                  </w:r>
                  <w:r>
                    <w:rPr>
                      <w:rFonts w:ascii="楷体" w:hAnsi="楷体" w:eastAsia="楷体"/>
                      <w:sz w:val="24"/>
                      <w:szCs w:val="24"/>
                    </w:rPr>
                    <w:t>55dB</w:t>
                  </w:r>
                  <w:r>
                    <w:rPr>
                      <w:rFonts w:hint="eastAsia" w:ascii="楷体" w:hAnsi="楷体" w:eastAsia="楷体"/>
                      <w:sz w:val="24"/>
                      <w:szCs w:val="24"/>
                    </w:rPr>
                    <w:t>（夜）见检测报告</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rPr>
                    <w:t>已完成</w:t>
                  </w:r>
                </w:p>
              </w:tc>
              <w:tc>
                <w:tcPr>
                  <w:tcW w:w="615" w:type="dxa"/>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p>
              </w:tc>
            </w:tr>
          </w:tbl>
          <w:p>
            <w:pPr>
              <w:spacing w:line="360" w:lineRule="auto"/>
              <w:rPr>
                <w:rFonts w:ascii="楷体" w:hAnsi="楷体" w:eastAsia="楷体"/>
                <w:sz w:val="24"/>
                <w:szCs w:val="24"/>
              </w:rPr>
            </w:pP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变更的策划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6.3</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 xml:space="preserve">7.1.1  </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7.1</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总经理主持了今年的管理评审，对方针、目标的适宜性进行了评审，协助管代进行了内审，确保所需资源得到满足。</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环保设施、固废分类处置、劳保、体检、消防、（高温补助、取暖费）福利费用等投入方面，至今支出约</w:t>
            </w:r>
            <w:r>
              <w:rPr>
                <w:rFonts w:hint="eastAsia" w:ascii="楷体" w:hAnsi="楷体" w:eastAsia="楷体"/>
                <w:color w:val="auto"/>
                <w:sz w:val="24"/>
                <w:szCs w:val="24"/>
                <w:lang w:val="en-US" w:eastAsia="zh-CN"/>
              </w:rPr>
              <w:t>26.4</w:t>
            </w:r>
            <w:r>
              <w:rPr>
                <w:rFonts w:hint="eastAsia" w:ascii="楷体" w:hAnsi="楷体" w:eastAsia="楷体"/>
                <w:sz w:val="24"/>
                <w:szCs w:val="24"/>
              </w:rPr>
              <w:t>万元。</w:t>
            </w:r>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车间、仓库和办公楼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公司目前的基础设施，能够满足当前三体系的要求。公司将依据经营发展的需要，会不断补充与增加。</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7.4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胡名福</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胡名福</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胡名福</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cs="宋体"/>
                <w:color w:val="000000"/>
                <w:kern w:val="0"/>
                <w:sz w:val="24"/>
                <w:szCs w:val="24"/>
              </w:rPr>
              <w:t>胡艳青</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w:t>
            </w:r>
            <w:r>
              <w:rPr>
                <w:rFonts w:hint="eastAsia" w:ascii="楷体" w:hAnsi="楷体" w:eastAsia="楷体"/>
                <w:sz w:val="24"/>
                <w:szCs w:val="24"/>
                <w:lang w:val="en-US" w:eastAsia="zh-CN"/>
              </w:rPr>
              <w:t>22.11.30</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胡名福</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ascii="楷体" w:hAnsi="楷体" w:eastAsia="楷体"/>
                <w:sz w:val="24"/>
                <w:szCs w:val="24"/>
              </w:rPr>
            </w:pPr>
            <w:r>
              <w:rPr>
                <w:rFonts w:hint="eastAsia" w:ascii="楷体" w:hAnsi="楷体" w:eastAsia="楷体"/>
                <w:sz w:val="24"/>
                <w:szCs w:val="24"/>
              </w:rPr>
              <w:t>提出了3项改进措施</w:t>
            </w:r>
            <w:r>
              <w:rPr>
                <w:rFonts w:ascii="楷体" w:hAnsi="楷体" w:eastAsia="楷体"/>
                <w:sz w:val="24"/>
                <w:szCs w:val="24"/>
              </w:rPr>
              <w:t xml:space="preserve">: </w:t>
            </w:r>
            <w:r>
              <w:rPr>
                <w:rFonts w:hint="eastAsia" w:ascii="楷体" w:hAnsi="楷体" w:eastAsia="楷体"/>
                <w:color w:val="000000"/>
                <w:sz w:val="24"/>
                <w:szCs w:val="24"/>
              </w:rPr>
              <w:t>进一步组织对GB/T</w:t>
            </w:r>
            <w:r>
              <w:rPr>
                <w:rFonts w:hint="eastAsia" w:ascii="楷体" w:hAnsi="楷体" w:eastAsia="楷体"/>
                <w:color w:val="000000"/>
                <w:sz w:val="24"/>
                <w:szCs w:val="24"/>
                <w:lang w:val="en-US" w:eastAsia="zh-CN"/>
              </w:rPr>
              <w:t>19001-</w:t>
            </w:r>
            <w:r>
              <w:rPr>
                <w:rFonts w:hint="eastAsia" w:ascii="楷体" w:hAnsi="楷体" w:eastAsia="楷体"/>
                <w:color w:val="000000"/>
                <w:sz w:val="24"/>
                <w:szCs w:val="24"/>
              </w:rPr>
              <w:t>2015、GB/T</w:t>
            </w:r>
            <w:r>
              <w:rPr>
                <w:rFonts w:hint="eastAsia" w:ascii="楷体" w:hAnsi="楷体" w:eastAsia="楷体"/>
                <w:color w:val="000000"/>
                <w:sz w:val="24"/>
                <w:szCs w:val="24"/>
                <w:lang w:val="en-US" w:eastAsia="zh-CN"/>
              </w:rPr>
              <w:t>45001</w:t>
            </w:r>
            <w:r>
              <w:rPr>
                <w:rFonts w:hint="eastAsia" w:ascii="楷体" w:hAnsi="楷体" w:eastAsia="楷体"/>
                <w:color w:val="000000"/>
                <w:sz w:val="24"/>
                <w:szCs w:val="24"/>
              </w:rPr>
              <w:t>-20</w:t>
            </w:r>
            <w:r>
              <w:rPr>
                <w:rFonts w:hint="eastAsia" w:ascii="楷体" w:hAnsi="楷体" w:eastAsia="楷体"/>
                <w:color w:val="000000"/>
                <w:sz w:val="24"/>
                <w:szCs w:val="24"/>
                <w:lang w:val="en-US" w:eastAsia="zh-CN"/>
              </w:rPr>
              <w:t>20</w:t>
            </w:r>
            <w:r>
              <w:rPr>
                <w:rFonts w:hint="eastAsia" w:ascii="楷体" w:hAnsi="楷体" w:eastAsia="楷体"/>
                <w:color w:val="000000"/>
                <w:sz w:val="24"/>
                <w:szCs w:val="24"/>
              </w:rPr>
              <w:t>、GB/T</w:t>
            </w:r>
            <w:r>
              <w:rPr>
                <w:rFonts w:hint="eastAsia" w:ascii="楷体" w:hAnsi="楷体" w:eastAsia="楷体"/>
                <w:color w:val="000000"/>
                <w:sz w:val="24"/>
                <w:szCs w:val="24"/>
                <w:lang w:val="en-US" w:eastAsia="zh-CN"/>
              </w:rPr>
              <w:t>24001-</w:t>
            </w:r>
            <w:r>
              <w:rPr>
                <w:rFonts w:hint="eastAsia" w:ascii="楷体" w:hAnsi="楷体" w:eastAsia="楷体"/>
                <w:color w:val="000000"/>
                <w:sz w:val="24"/>
                <w:szCs w:val="24"/>
              </w:rPr>
              <w:t>2015标准、《管理手册》、《管理程序文件》的学习和培训，使与管理体系有关的人员了解和掌握标准和本公司管理体系文件的内容，特别是应该提高内审员的水平和技巧。进一步组织对相关的法律、法规、规程和规范的学习。节能降耗，减少生产车间和办公区域资源能源和办公器材消耗量。</w:t>
            </w:r>
          </w:p>
          <w:p>
            <w:pPr>
              <w:spacing w:line="360" w:lineRule="auto"/>
              <w:rPr>
                <w:rFonts w:ascii="楷体" w:hAnsi="楷体" w:eastAsia="楷体"/>
                <w:sz w:val="24"/>
                <w:szCs w:val="24"/>
              </w:rPr>
            </w:pPr>
            <w:r>
              <w:rPr>
                <w:rFonts w:hint="eastAsia" w:ascii="楷体" w:hAnsi="楷体" w:eastAsia="楷体"/>
                <w:sz w:val="24"/>
                <w:szCs w:val="24"/>
              </w:rPr>
              <w:t>管理评审的策划及实施符合要求。</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国家</w:t>
            </w:r>
            <w:r>
              <w:rPr>
                <w:rFonts w:ascii="楷体" w:hAnsi="楷体" w:eastAsia="楷体"/>
                <w:sz w:val="24"/>
                <w:szCs w:val="24"/>
              </w:rPr>
              <w:t>/</w:t>
            </w:r>
            <w:r>
              <w:rPr>
                <w:rFonts w:hint="eastAsia" w:ascii="楷体" w:hAnsi="楷体" w:eastAsia="楷体"/>
                <w:sz w:val="24"/>
                <w:szCs w:val="24"/>
              </w:rPr>
              <w:t>地方抽查、顾客满意、相关方投诉处理</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验证资质</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提供了组织营业执照、</w:t>
            </w:r>
            <w:r>
              <w:rPr>
                <w:rFonts w:hint="eastAsia" w:ascii="楷体" w:hAnsi="楷体" w:eastAsia="楷体"/>
                <w:spacing w:val="20"/>
                <w:sz w:val="24"/>
                <w:szCs w:val="24"/>
                <w:lang w:val="de-DE"/>
              </w:rPr>
              <w:t>建筑业企业资质证书</w:t>
            </w:r>
            <w:r>
              <w:rPr>
                <w:rFonts w:hint="eastAsia" w:ascii="楷体" w:hAnsi="楷体" w:eastAsia="楷体"/>
                <w:sz w:val="24"/>
                <w:szCs w:val="24"/>
              </w:rPr>
              <w:t>均为有效。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一阶段问题验证</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一阶段审核时</w:t>
            </w:r>
            <w:r>
              <w:rPr>
                <w:rFonts w:hint="eastAsia" w:ascii="楷体" w:hAnsi="楷体" w:eastAsia="楷体"/>
                <w:sz w:val="24"/>
                <w:szCs w:val="24"/>
                <w:lang w:val="en-US" w:eastAsia="zh-CN"/>
              </w:rPr>
              <w:t>未</w:t>
            </w:r>
            <w:r>
              <w:rPr>
                <w:rFonts w:hint="eastAsia" w:ascii="楷体" w:hAnsi="楷体" w:eastAsia="楷体"/>
                <w:sz w:val="24"/>
                <w:szCs w:val="24"/>
              </w:rPr>
              <w:t>发现问题。</w:t>
            </w:r>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4"/>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HAAPML+o¨²¨¬?">
    <w:altName w:val="Segoe Print"/>
    <w:panose1 w:val="00000000000000000000"/>
    <w:charset w:val="00"/>
    <w:family w:val="auto"/>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624" w:leftChars="297"/>
      <w:jc w:val="left"/>
      <w:rPr>
        <w:rStyle w:val="11"/>
        <w:rFonts w:hint="default"/>
        <w:w w:val="90"/>
      </w:rPr>
    </w:pPr>
    <w:r>
      <w:pict>
        <v:shape id="图片 0" o:spid="_x0000_s2052" o:spt="75" alt="新LOGO.png" type="#_x0000_t75" style="position:absolute;left:0pt;margin-left:-6.35pt;margin-top:-9.6pt;height:38.15pt;width:37.9pt;mso-wrap-distance-bottom:0pt;mso-wrap-distance-top:0pt;z-index:251660288;mso-width-relative:page;mso-height-relative:page;" filled="f" o:preferrelative="t" stroked="f" coordsize="21600,21600">
          <v:path/>
          <v:fill on="f" focussize="0,0"/>
          <v:stroke on="f"/>
          <v:imagedata r:id="rId1" o:title=""/>
          <o:lock v:ext="edit" aspectratio="t"/>
          <w10:wrap type="topAndBottom"/>
        </v:shape>
      </w:pict>
    </w:r>
    <w:r>
      <w:pict>
        <v:shape id="_x0000_s2051" o:spid="_x0000_s2051"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1"/>
        <w:rFonts w:hint="default"/>
      </w:rPr>
      <w:t>北京国标联合认证有限公司</w:t>
    </w:r>
    <w:r>
      <w:rPr>
        <w:rStyle w:val="11"/>
        <w:rFonts w:hint="default"/>
      </w:rPr>
      <w:tab/>
    </w:r>
    <w:r>
      <w:rPr>
        <w:rStyle w:val="11"/>
        <w:rFonts w:hint="default"/>
      </w:rPr>
      <w:tab/>
    </w:r>
  </w:p>
  <w:p>
    <w:pPr>
      <w:pStyle w:val="5"/>
      <w:pBdr>
        <w:bottom w:val="single" w:color="auto" w:sz="4" w:space="0"/>
      </w:pBdr>
      <w:tabs>
        <w:tab w:val="left" w:pos="8910"/>
        <w:tab w:val="left" w:pos="9045"/>
        <w:tab w:val="clear" w:pos="4153"/>
      </w:tabs>
      <w:spacing w:line="320" w:lineRule="exact"/>
      <w:ind w:left="624" w:leftChars="297"/>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lOThiN2ZiYWFhMTVmZWIyMjliZTE5YjA2MDUwOTgifQ=="/>
  </w:docVars>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108219C2"/>
    <w:rsid w:val="5EA12B9A"/>
    <w:rsid w:val="5FA73D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8"/>
    <w:semiHidden/>
    <w:uiPriority w:val="99"/>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locked/>
    <w:uiPriority w:val="99"/>
    <w:rPr>
      <w:rFonts w:ascii="Times New Roman" w:hAnsi="Times New Roman" w:eastAsia="宋体" w:cs="Times New Roman"/>
      <w:sz w:val="18"/>
      <w:szCs w:val="18"/>
    </w:rPr>
  </w:style>
  <w:style w:type="character" w:customStyle="1" w:styleId="9">
    <w:name w:val="页脚 Char"/>
    <w:link w:val="4"/>
    <w:locked/>
    <w:uiPriority w:val="99"/>
    <w:rPr>
      <w:rFonts w:ascii="Times New Roman" w:hAnsi="Times New Roman" w:eastAsia="宋体" w:cs="Times New Roman"/>
      <w:sz w:val="18"/>
      <w:szCs w:val="18"/>
    </w:rPr>
  </w:style>
  <w:style w:type="character" w:customStyle="1" w:styleId="10">
    <w:name w:val="页眉 Char"/>
    <w:link w:val="5"/>
    <w:locked/>
    <w:uiPriority w:val="99"/>
    <w:rPr>
      <w:rFonts w:ascii="Times New Roman" w:hAnsi="Times New Roman" w:eastAsia="宋体" w:cs="Times New Roman"/>
      <w:sz w:val="18"/>
      <w:szCs w:val="18"/>
    </w:rPr>
  </w:style>
  <w:style w:type="character" w:customStyle="1" w:styleId="11">
    <w:name w:val="Char Char1"/>
    <w:locked/>
    <w:uiPriority w:val="99"/>
    <w:rPr>
      <w:rFonts w:ascii="宋体" w:hAnsi="Courier New" w:eastAsia="宋体"/>
      <w:kern w:val="2"/>
      <w:sz w:val="21"/>
      <w:lang w:val="en-US" w:eastAsia="zh-CN"/>
    </w:rPr>
  </w:style>
  <w:style w:type="character" w:customStyle="1" w:styleId="12">
    <w:name w:val="fontstyle01"/>
    <w:uiPriority w:val="99"/>
    <w:rPr>
      <w:rFonts w:ascii="宋体" w:hAnsi="宋体" w:eastAsia="宋体" w:cs="Times New Roman"/>
      <w:color w:val="000000"/>
      <w:sz w:val="24"/>
      <w:szCs w:val="24"/>
    </w:rPr>
  </w:style>
  <w:style w:type="character" w:customStyle="1" w:styleId="13">
    <w:name w:val="fontstyle21"/>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6187</Words>
  <Characters>6657</Characters>
  <Lines>50</Lines>
  <Paragraphs>14</Paragraphs>
  <TotalTime>3</TotalTime>
  <ScaleCrop>false</ScaleCrop>
  <LinksUpToDate>false</LinksUpToDate>
  <CharactersWithSpaces>6734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2023-03-14T07:31:45Z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BB246C01B1284F3B96F46BD8D2E66782</vt:lpwstr>
  </property>
</Properties>
</file>