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225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95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2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受审核部门：销售部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主管领导/陪同人员：万德节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95" w:type="dxa"/>
            <w:vMerge w:val="continue"/>
            <w:vAlign w:val="center"/>
          </w:tcPr>
          <w:p/>
        </w:tc>
        <w:tc>
          <w:tcPr>
            <w:tcW w:w="1225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审核员：文波         审核时间：202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3.15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95" w:type="dxa"/>
            <w:vMerge w:val="continue"/>
            <w:vAlign w:val="center"/>
          </w:tcPr>
          <w:p/>
        </w:tc>
        <w:tc>
          <w:tcPr>
            <w:tcW w:w="1225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QMS:5.3组织的岗位、职责和权限、6.2质量目标、8.2产品和服务的要求、8.5.3顾客或外部供方的财产、9.1.2顾客满意、8.5.5交付后的活动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EMS/OHSMS: 5.3组织的岗位、职责和权限、6.2环境目标6.1.2环境因素/危险源的识别与评价、8.1运行策划和控制、8.2应急准备和响应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95" w:type="dxa"/>
          </w:tcPr>
          <w:p>
            <w:r>
              <w:rPr>
                <w:rFonts w:hint="eastAsia" w:ascii="宋体" w:hAnsi="宋体" w:cs="Arial"/>
                <w:spacing w:val="-6"/>
                <w:szCs w:val="21"/>
              </w:rPr>
              <w:t>岗位、职责和权限</w:t>
            </w:r>
          </w:p>
        </w:tc>
        <w:tc>
          <w:tcPr>
            <w:tcW w:w="1225" w:type="dxa"/>
          </w:tcPr>
          <w:p>
            <w:r>
              <w:rPr>
                <w:rFonts w:hint="eastAsia" w:ascii="宋体" w:hAnsi="宋体" w:cs="Arial"/>
                <w:spacing w:val="-6"/>
                <w:szCs w:val="21"/>
              </w:rPr>
              <w:t>QEO:5.3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before="93" w:beforeLines="30" w:after="93" w:afterLines="30"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部门负责人：万德节</w:t>
            </w:r>
          </w:p>
          <w:p>
            <w:pPr>
              <w:adjustRightInd w:val="0"/>
              <w:snapToGrid w:val="0"/>
              <w:spacing w:before="93" w:beforeLines="30" w:after="93" w:afterLines="30"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介绍说，部门主要负责：</w:t>
            </w:r>
          </w:p>
          <w:p>
            <w:pPr>
              <w:adjustRightInd w:val="0"/>
              <w:snapToGrid w:val="0"/>
              <w:spacing w:before="93" w:beforeLines="30" w:after="93" w:afterLines="30"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市场调研与开发，招投标、商务谈判及合同评审，顾客档案建立，售后服务及顾客满意度评价与分析；本部门环境因素和危险源识别和控制；本部门目标实施；与相关方做好沟通等。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89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目标</w:t>
            </w:r>
          </w:p>
        </w:tc>
        <w:tc>
          <w:tcPr>
            <w:tcW w:w="122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QEO:6.2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before="93" w:beforeLines="30" w:after="93" w:afterLines="30"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查见“质量\环境\职业健康安全目标分解考核表”，见销售部的目标：</w:t>
            </w:r>
          </w:p>
          <w:p>
            <w:pPr>
              <w:adjustRightInd w:val="0"/>
              <w:snapToGrid w:val="0"/>
              <w:spacing w:before="93" w:beforeLines="30" w:after="93" w:afterLines="30"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合同履约率达100%</w:t>
            </w:r>
          </w:p>
          <w:p>
            <w:pPr>
              <w:adjustRightInd w:val="0"/>
              <w:snapToGrid w:val="0"/>
              <w:spacing w:before="93" w:beforeLines="30" w:after="93" w:afterLines="30"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顾客满意度达95分</w:t>
            </w:r>
          </w:p>
          <w:p>
            <w:pPr>
              <w:adjustRightInd w:val="0"/>
              <w:snapToGrid w:val="0"/>
              <w:spacing w:before="93" w:beforeLines="30" w:after="93" w:afterLines="30"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固废分类处置率100%</w:t>
            </w:r>
          </w:p>
          <w:p>
            <w:pPr>
              <w:adjustRightInd w:val="0"/>
              <w:snapToGrid w:val="0"/>
              <w:spacing w:before="93" w:beforeLines="30" w:after="93" w:afterLines="30"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火灾、触电事故发生次数为0</w:t>
            </w:r>
          </w:p>
          <w:p>
            <w:pPr>
              <w:adjustRightInd w:val="0"/>
              <w:snapToGrid w:val="0"/>
              <w:spacing w:before="93" w:beforeLines="30" w:after="93" w:afterLines="30"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考核情况：经查202</w:t>
            </w:r>
            <w:r>
              <w:rPr>
                <w:rFonts w:ascii="宋体" w:hAnsi="宋体" w:cs="Arial"/>
                <w:spacing w:val="-6"/>
                <w:szCs w:val="21"/>
              </w:rPr>
              <w:t>2</w:t>
            </w:r>
            <w:r>
              <w:rPr>
                <w:rFonts w:hint="eastAsia" w:ascii="宋体" w:hAnsi="宋体" w:cs="Arial"/>
                <w:spacing w:val="-6"/>
                <w:szCs w:val="21"/>
              </w:rPr>
              <w:t>年</w:t>
            </w:r>
            <w:r>
              <w:rPr>
                <w:rFonts w:ascii="宋体" w:hAnsi="宋体" w:cs="Arial"/>
                <w:spacing w:val="-6"/>
                <w:szCs w:val="21"/>
              </w:rPr>
              <w:t>7</w:t>
            </w:r>
            <w:r>
              <w:rPr>
                <w:rFonts w:hint="eastAsia" w:ascii="宋体" w:hAnsi="宋体" w:cs="Arial"/>
                <w:spacing w:val="-6"/>
                <w:szCs w:val="21"/>
              </w:rPr>
              <w:t>月-2022年</w:t>
            </w:r>
            <w:r>
              <w:rPr>
                <w:rFonts w:ascii="宋体" w:hAnsi="宋体" w:cs="Arial"/>
                <w:spacing w:val="-6"/>
                <w:szCs w:val="21"/>
              </w:rPr>
              <w:t>12</w:t>
            </w:r>
            <w:r>
              <w:rPr>
                <w:rFonts w:hint="eastAsia" w:ascii="宋体" w:hAnsi="宋体" w:cs="Arial"/>
                <w:spacing w:val="-6"/>
                <w:szCs w:val="21"/>
              </w:rPr>
              <w:t>月质量\职业健康安全目标分解考核表，各目标达成要求。考核目标均已全部完成；</w:t>
            </w:r>
          </w:p>
          <w:p>
            <w:pPr>
              <w:adjustRightInd w:val="0"/>
              <w:snapToGrid w:val="0"/>
              <w:spacing w:before="93" w:beforeLines="30" w:after="93" w:afterLines="30"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查见“目标与管理方案及实施情况一览表”，对指标、措施、时间要求、责任部门、责任人进行了明确；</w:t>
            </w:r>
          </w:p>
          <w:p>
            <w:pPr>
              <w:adjustRightInd w:val="0"/>
              <w:snapToGrid w:val="0"/>
              <w:spacing w:before="93" w:beforeLines="30" w:after="93" w:afterLines="30"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基本符合。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9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产品和服务的要求</w:t>
            </w:r>
          </w:p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交付后的活动</w:t>
            </w:r>
          </w:p>
        </w:tc>
        <w:tc>
          <w:tcPr>
            <w:tcW w:w="122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Q:8.2</w:t>
            </w:r>
          </w:p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8.5.5</w:t>
            </w:r>
          </w:p>
        </w:tc>
        <w:tc>
          <w:tcPr>
            <w:tcW w:w="10004" w:type="dxa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360" w:lineRule="auto"/>
              <w:ind w:right="-6" w:rightChars="-3" w:firstLine="420" w:firstLineChars="20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销售部负责人介绍沟通方式：主要是电话、资料传递、招投标会、交流会等形式宣传本公司有关产品及公司的有关信誉等。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360" w:lineRule="auto"/>
              <w:ind w:right="-6" w:rightChars="-3" w:firstLine="420" w:firstLineChars="20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针对合同洽谈、签订、履行过程中的问题，及时电话联系，明确各自的要求，执行合同。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360" w:lineRule="auto"/>
              <w:ind w:right="-6" w:rightChars="-3" w:firstLine="420" w:firstLineChars="200"/>
              <w:rPr>
                <w:rFonts w:hAnsiTheme="minorEastAsia"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目前沟通效果良好。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360" w:lineRule="auto"/>
              <w:ind w:right="-6" w:rightChars="-3" w:firstLine="420" w:firstLineChars="200"/>
              <w:rPr>
                <w:rFonts w:hAnsiTheme="minorEastAsia"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公司主要通过招标会、客户的走访、交流会等了解市场的需求状态。主要以招标文件、合同、电话等形式确定与产品有关的要求，均已保存或进行相应的记录。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介绍说，公司产品主要通过招投标方式进行销售，中标后签订合同/销售订单，抽查见：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预拌混凝土供需合同——需方：南昌市赣润贸易有限公司——项目：青云谱区果品城市配送平台项目——2</w:t>
            </w:r>
            <w:r>
              <w:rPr>
                <w:szCs w:val="21"/>
              </w:rPr>
              <w:t>023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3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预拌混凝土供需合同——需方：江西省第十建筑工程有限公司——项目：南昌南横岗站前广场——2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预拌混凝土供需合同——需方：南昌旭源玻璃有限公司——项目：厂房工程——2</w:t>
            </w:r>
            <w:r>
              <w:rPr>
                <w:szCs w:val="21"/>
              </w:rPr>
              <w:t>023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采购合同：商砼——中国铁建电气化局集团有限公司第三分公司——项目：新建南昌经景德镇至黄山铁路江西段“四电”系统集成相关工程——2</w:t>
            </w:r>
            <w:r>
              <w:rPr>
                <w:szCs w:val="21"/>
              </w:rPr>
              <w:t>023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13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见上述合同和订单的的合同评审记录；在合同签订之前评审。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销售部负责人介绍：</w:t>
            </w:r>
            <w:r>
              <w:rPr>
                <w:rFonts w:hint="eastAsia"/>
                <w:szCs w:val="21"/>
              </w:rPr>
              <w:t>按客户需求进行投产，</w:t>
            </w:r>
            <w:r>
              <w:rPr>
                <w:szCs w:val="21"/>
              </w:rPr>
              <w:t>目前尚未发生合同更改的情况，询问对更改情况的控制较为明确清楚。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产品要求的评审基本符合标准要求。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交付后活动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公司的销售合同中明确了质量保证要求；负责人介绍说，公司有专人对销售的产品的售后进行服务，对顾客的询问、投诉均进行及时的处理。</w:t>
            </w:r>
            <w:r>
              <w:rPr>
                <w:rFonts w:hint="eastAsia" w:eastAsiaTheme="minorEastAsia"/>
                <w:color w:val="000000"/>
                <w:szCs w:val="21"/>
              </w:rPr>
              <w:t>同时跟踪项目进度、顾客回访、顾客反馈、顾客满意度调查等形式进行。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介绍说近一年度，客户使用前对产品进行检验，无顾客不良反馈。</w:t>
            </w:r>
          </w:p>
          <w:p>
            <w:pPr>
              <w:adjustRightInd w:val="0"/>
              <w:snapToGrid w:val="0"/>
              <w:spacing w:before="93" w:beforeLines="30" w:after="93" w:afterLines="30" w:line="360" w:lineRule="auto"/>
              <w:ind w:right="105" w:rightChars="50" w:firstLine="420" w:firstLineChars="200"/>
              <w:textAlignment w:val="baseline"/>
            </w:pPr>
            <w:r>
              <w:rPr>
                <w:rFonts w:hint="eastAsia"/>
                <w:szCs w:val="21"/>
              </w:rPr>
              <w:t>基本符合。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5" w:type="dxa"/>
          </w:tcPr>
          <w:p>
            <w:r>
              <w:rPr>
                <w:rFonts w:hint="eastAsia" w:ascii="宋体" w:hAnsi="宋体" w:cs="Arial"/>
                <w:spacing w:val="-6"/>
                <w:szCs w:val="21"/>
              </w:rPr>
              <w:t>顾客或外部供方的财产</w:t>
            </w:r>
          </w:p>
        </w:tc>
        <w:tc>
          <w:tcPr>
            <w:tcW w:w="1225" w:type="dxa"/>
          </w:tcPr>
          <w:p>
            <w:r>
              <w:rPr>
                <w:rFonts w:hint="eastAsia" w:ascii="宋体" w:hAnsi="宋体" w:cs="Arial"/>
                <w:spacing w:val="-6"/>
                <w:szCs w:val="21"/>
              </w:rPr>
              <w:t>Q:8.5.3</w:t>
            </w:r>
          </w:p>
        </w:tc>
        <w:tc>
          <w:tcPr>
            <w:tcW w:w="10004" w:type="dxa"/>
          </w:tcPr>
          <w:p>
            <w:pPr>
              <w:spacing w:before="93" w:beforeLines="30" w:after="93" w:afterLines="30" w:line="360" w:lineRule="auto"/>
              <w:ind w:firstLine="420" w:firstLineChars="200"/>
              <w:rPr>
                <w:rFonts w:hAnsiTheme="minorEastAsia"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</w:rPr>
              <w:t>公司在管理手册中，规定了对顾客或外部供方财产的管理，明确了对顾客或外部供方财产的登记、验收、保护、使用等相关要求。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rFonts w:hAnsiTheme="minorEastAsia"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</w:rPr>
              <w:t>介绍说，目前公司无外部供方的财产，涉及的顾客财产仅为顾客信息，公司对顾客相关信息做相关保密规定。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rFonts w:hAnsiTheme="minorEastAsia"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</w:rPr>
              <w:t>顾客或外部供方的财产管理符合要求。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89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顾客满意</w:t>
            </w:r>
          </w:p>
        </w:tc>
        <w:tc>
          <w:tcPr>
            <w:tcW w:w="1225" w:type="dxa"/>
          </w:tcPr>
          <w:p>
            <w:r>
              <w:rPr>
                <w:rFonts w:hint="eastAsia" w:ascii="宋体" w:hAnsi="宋体" w:cs="Arial"/>
                <w:spacing w:val="-6"/>
                <w:szCs w:val="21"/>
              </w:rPr>
              <w:t>Q:9.1.2</w:t>
            </w: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公司编制《</w:t>
            </w:r>
            <w:r>
              <w:rPr>
                <w:rFonts w:hint="eastAsia" w:hAnsiTheme="minorEastAsia" w:eastAsiaTheme="minorEastAsia"/>
                <w:szCs w:val="21"/>
              </w:rPr>
              <w:t>顾客满意度控制程序</w:t>
            </w:r>
            <w:r>
              <w:rPr>
                <w:rFonts w:hAnsiTheme="minorEastAsia" w:eastAsiaTheme="minorEastAsia"/>
                <w:szCs w:val="21"/>
              </w:rPr>
              <w:t>》，通过拜访、电话、电邮、问卷等形式，收集顾客反馈信息，监视顾客满意程度，评价体系的有效性，寻求体系改进的机会。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提供了对</w:t>
            </w:r>
            <w:r>
              <w:rPr>
                <w:rFonts w:eastAsiaTheme="minorEastAsia"/>
                <w:szCs w:val="21"/>
              </w:rPr>
              <w:t>6</w:t>
            </w:r>
            <w:r>
              <w:rPr>
                <w:rFonts w:hAnsiTheme="minorEastAsia" w:eastAsiaTheme="minorEastAsia"/>
                <w:szCs w:val="21"/>
              </w:rPr>
              <w:t>家顾客的《顾客满意度调查记录表》，调查包含：质量、交货期、服务、价格等指标，满意程度分为很满意</w:t>
            </w:r>
            <w:r>
              <w:rPr>
                <w:rFonts w:eastAsiaTheme="minorEastAsia"/>
                <w:szCs w:val="21"/>
              </w:rPr>
              <w:t>---</w:t>
            </w:r>
            <w:r>
              <w:rPr>
                <w:rFonts w:hAnsiTheme="minorEastAsia" w:eastAsiaTheme="minorEastAsia"/>
                <w:szCs w:val="21"/>
              </w:rPr>
              <w:t>不满意等四个档次。从提供的调查表来看，客户对组织评价均为</w:t>
            </w:r>
            <w:r>
              <w:rPr>
                <w:rFonts w:eastAsiaTheme="minorEastAsia"/>
                <w:szCs w:val="21"/>
              </w:rPr>
              <w:t>“</w:t>
            </w:r>
            <w:r>
              <w:rPr>
                <w:rFonts w:hAnsiTheme="minorEastAsia" w:eastAsiaTheme="minorEastAsia"/>
                <w:szCs w:val="21"/>
              </w:rPr>
              <w:t>很满意</w:t>
            </w:r>
            <w:r>
              <w:rPr>
                <w:rFonts w:eastAsiaTheme="minorEastAsia"/>
                <w:szCs w:val="21"/>
              </w:rPr>
              <w:t>”</w:t>
            </w:r>
            <w:r>
              <w:rPr>
                <w:rFonts w:hAnsiTheme="minorEastAsia" w:eastAsiaTheme="minorEastAsia"/>
                <w:szCs w:val="21"/>
              </w:rPr>
              <w:t>、</w:t>
            </w:r>
            <w:r>
              <w:rPr>
                <w:rFonts w:eastAsiaTheme="minorEastAsia"/>
                <w:szCs w:val="21"/>
              </w:rPr>
              <w:t>“</w:t>
            </w:r>
            <w:r>
              <w:rPr>
                <w:rFonts w:hAnsiTheme="minorEastAsia" w:eastAsiaTheme="minorEastAsia"/>
                <w:szCs w:val="21"/>
              </w:rPr>
              <w:t>满意</w:t>
            </w:r>
            <w:r>
              <w:rPr>
                <w:rFonts w:eastAsiaTheme="minorEastAsia"/>
                <w:szCs w:val="21"/>
              </w:rPr>
              <w:t>”</w:t>
            </w:r>
            <w:r>
              <w:rPr>
                <w:rFonts w:hAnsiTheme="minorEastAsia" w:eastAsiaTheme="minorEastAsia"/>
                <w:szCs w:val="21"/>
              </w:rPr>
              <w:t>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查见</w:t>
            </w:r>
            <w:r>
              <w:rPr>
                <w:rFonts w:eastAsiaTheme="minorEastAsia"/>
                <w:szCs w:val="21"/>
              </w:rPr>
              <w:t>20</w:t>
            </w:r>
            <w:r>
              <w:rPr>
                <w:rFonts w:hint="eastAsia" w:eastAsiaTheme="minorEastAsia"/>
                <w:szCs w:val="21"/>
              </w:rPr>
              <w:t>22年</w:t>
            </w:r>
            <w:r>
              <w:rPr>
                <w:rFonts w:eastAsiaTheme="minorEastAsia"/>
                <w:szCs w:val="21"/>
              </w:rPr>
              <w:t>12</w:t>
            </w:r>
            <w:r>
              <w:rPr>
                <w:rFonts w:hint="eastAsia" w:eastAsiaTheme="minorEastAsia"/>
                <w:szCs w:val="21"/>
              </w:rPr>
              <w:t>月份</w:t>
            </w:r>
            <w:r>
              <w:rPr>
                <w:rFonts w:hAnsiTheme="minorEastAsia" w:eastAsiaTheme="minorEastAsia"/>
                <w:szCs w:val="21"/>
              </w:rPr>
              <w:t>的《顾客满意度调查分析》，对顾客满意度指标完成情况、顾客建议改进方向等予以分析汇总，经评价测算客户满意度得分</w:t>
            </w:r>
            <w:r>
              <w:rPr>
                <w:rFonts w:hint="eastAsia" w:eastAsiaTheme="minorEastAsia"/>
                <w:szCs w:val="21"/>
              </w:rPr>
              <w:t>9</w:t>
            </w:r>
            <w:r>
              <w:rPr>
                <w:rFonts w:eastAsiaTheme="minorEastAsia"/>
                <w:szCs w:val="21"/>
              </w:rPr>
              <w:t>8</w:t>
            </w:r>
            <w:r>
              <w:rPr>
                <w:rFonts w:hAnsiTheme="minorEastAsia" w:eastAsiaTheme="minorEastAsia"/>
                <w:szCs w:val="21"/>
              </w:rPr>
              <w:t>分。</w:t>
            </w:r>
          </w:p>
          <w:p>
            <w:pPr>
              <w:adjustRightInd w:val="0"/>
              <w:snapToGrid w:val="0"/>
              <w:spacing w:before="93" w:beforeLines="30" w:after="93" w:afterLines="30" w:line="360" w:lineRule="auto"/>
              <w:ind w:right="105" w:rightChars="50" w:firstLine="420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企业对顾客满意度的调查、分析利用进行了策划并实施，基本符合标准条款的要求。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89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环境因素/危险源的识别与评价、措施的策划</w:t>
            </w:r>
          </w:p>
        </w:tc>
        <w:tc>
          <w:tcPr>
            <w:tcW w:w="122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EO:6.1.2</w:t>
            </w:r>
          </w:p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6.1.4</w:t>
            </w:r>
          </w:p>
        </w:tc>
        <w:tc>
          <w:tcPr>
            <w:tcW w:w="10004" w:type="dxa"/>
          </w:tcPr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查见环境因素识别与评价程序、危险源辨识、风险评价和风险控制程序，有效文件。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对环境因素、危险源的识别、评价结果、控制手段等做出了规定。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销售部按照办公过程和销售服务过程对环境因素、危险源进行了辨识，辨识时考虑了三种时态：过去、现在和将来，和三种状态：正常、异常和紧急。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查“环境因素辨识和评价表”，对办公活动、消防、能源使用等过程的环境因素进行了辨识和评价；涉及生活垃圾、消防器材的消耗、能源使用、火灾等项；考虑了生命周期观点。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采取打分法评价；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查到“重要环境因素清单”，评价出固废、潜在火灾为办公活动的重要环境因素。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查销售部“危险源调查表”，识别了电源电器老化、损坏、违章用电、地面有油污水跌倒、障碍物挡路引起火灾、采购过程中运输汽车事故等危险源。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查《不可接受风险清单》，涉及本部门的不可接受风险：触电事故。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策划了控制措施，制订了环境、职业健康安全管理方案。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控制措施：固废分类存放、垃圾等由行政部负责按规定处置，包装物分类卖掉；危险源控制执行管理方案、配备消防器材、个体防护；进行日常检查、培训教育，配备有消防器材、制定应急预案等措施。</w:t>
            </w:r>
          </w:p>
          <w:p>
            <w:pPr>
              <w:spacing w:before="93" w:beforeLines="30" w:after="93" w:afterLines="3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  <w:p>
            <w:pPr>
              <w:adjustRightInd w:val="0"/>
              <w:snapToGrid w:val="0"/>
              <w:spacing w:before="93" w:beforeLines="30" w:after="93" w:afterLines="30"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</w:p>
        </w:tc>
        <w:tc>
          <w:tcPr>
            <w:tcW w:w="1585" w:type="dxa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89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运行策划和控制</w:t>
            </w:r>
          </w:p>
        </w:tc>
        <w:tc>
          <w:tcPr>
            <w:tcW w:w="122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EO:8.1</w:t>
            </w: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公司策划了环境安全管理相关程序文件和管理制度：</w:t>
            </w:r>
          </w:p>
          <w:p>
            <w:pPr>
              <w:tabs>
                <w:tab w:val="left" w:pos="6597"/>
              </w:tabs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环境因素识别与评价程序、危险源辨识、风险评价和风险控制程序、管理运行控制程序、应急准备和响应控制程序、事故调查处理控制程序等；</w:t>
            </w:r>
          </w:p>
          <w:p>
            <w:pPr>
              <w:tabs>
                <w:tab w:val="left" w:pos="6597"/>
              </w:tabs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公司目前销售的产品是预拌混凝土产品。</w:t>
            </w:r>
          </w:p>
          <w:p>
            <w:pPr>
              <w:tabs>
                <w:tab w:val="left" w:pos="6597"/>
              </w:tabs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观察到办公室配置的办公桌符合人机工程要求，干净整洁，照明、通风良好；配置有空调，温度适宜；有少量绿植；</w:t>
            </w:r>
          </w:p>
          <w:p>
            <w:pPr>
              <w:tabs>
                <w:tab w:val="left" w:pos="6597"/>
              </w:tabs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查见配置有灭火器、消防栓，状态良好，保留检查记录；监控摄像头运行正常；应急疏散指示符合要求；</w:t>
            </w:r>
          </w:p>
          <w:p>
            <w:pPr>
              <w:tabs>
                <w:tab w:val="left" w:pos="6597"/>
              </w:tabs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在产品灌装车时，要求司机必须有驾驶证，车辆需经年检合格，车况良好，禁止疲劳驾驶，控制车速，避免扬尘和混凝土抛洒。</w:t>
            </w:r>
          </w:p>
          <w:p>
            <w:pPr>
              <w:tabs>
                <w:tab w:val="left" w:pos="6597"/>
              </w:tabs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对外招投标和业务洽谈时明确承诺公司产品环保、无毒无害。</w:t>
            </w:r>
          </w:p>
          <w:p>
            <w:pPr>
              <w:tabs>
                <w:tab w:val="left" w:pos="6597"/>
              </w:tabs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节约用水用电、纸张双面使用、禁止吸烟、无乱拉乱接电线、无超额电器使用；</w:t>
            </w:r>
          </w:p>
          <w:p>
            <w:pPr>
              <w:tabs>
                <w:tab w:val="left" w:pos="6597"/>
              </w:tabs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生活废水经市政管网排放；</w:t>
            </w:r>
          </w:p>
          <w:p>
            <w:pPr>
              <w:tabs>
                <w:tab w:val="left" w:pos="6597"/>
              </w:tabs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办公环境安静，无明显噪声和废气；</w:t>
            </w:r>
          </w:p>
          <w:p>
            <w:pPr>
              <w:tabs>
                <w:tab w:val="left" w:pos="6597"/>
              </w:tabs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办公用固废集中回收，市政环卫部门收集处理；</w:t>
            </w:r>
          </w:p>
          <w:p>
            <w:pPr>
              <w:tabs>
                <w:tab w:val="left" w:pos="6597"/>
              </w:tabs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办公用墨盒硒鼓等危废以旧换新；</w:t>
            </w:r>
          </w:p>
          <w:p>
            <w:pPr>
              <w:tabs>
                <w:tab w:val="left" w:pos="6597"/>
              </w:tabs>
              <w:spacing w:before="93" w:beforeLines="30" w:after="93" w:afterLines="30" w:line="360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对部门员工进行了不定期的交通安全宣传；</w:t>
            </w:r>
          </w:p>
          <w:p>
            <w:pPr>
              <w:spacing w:before="93" w:beforeLines="30" w:after="93" w:afterLines="30" w:line="360" w:lineRule="auto"/>
              <w:ind w:firstLine="420" w:firstLineChars="200"/>
            </w:pPr>
            <w:r>
              <w:rPr>
                <w:rFonts w:hint="eastAsia" w:eastAsiaTheme="minorEastAsia"/>
                <w:szCs w:val="21"/>
              </w:rPr>
              <w:t>查见“相关方告知书”，有效文件，对客户进行了环境和职业健康安全有关事项的沟通。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5" w:type="dxa"/>
          </w:tcPr>
          <w:p>
            <w:r>
              <w:rPr>
                <w:rFonts w:hint="eastAsia" w:ascii="宋体" w:hAnsi="宋体" w:cs="Arial"/>
                <w:spacing w:val="-6"/>
                <w:szCs w:val="21"/>
              </w:rPr>
              <w:t>应急管理</w:t>
            </w:r>
          </w:p>
        </w:tc>
        <w:tc>
          <w:tcPr>
            <w:tcW w:w="122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EO:8.2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before="93" w:beforeLines="30" w:after="93" w:afterLines="30" w:line="360" w:lineRule="auto"/>
              <w:ind w:right="105" w:rightChars="50" w:firstLine="420" w:firstLineChars="200"/>
              <w:textAlignment w:val="baseline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int="eastAsia" w:hAnsiTheme="minorEastAsia" w:eastAsiaTheme="minorEastAsia"/>
                <w:bCs/>
                <w:szCs w:val="21"/>
              </w:rPr>
              <w:t>制定实施了《应急准备和响应程序》，制定了火灾、触电等应急预案。内容包括：目的、适用范围、职责、应急处理细则、演习、必备资料等。</w:t>
            </w:r>
          </w:p>
          <w:p>
            <w:pPr>
              <w:adjustRightInd w:val="0"/>
              <w:snapToGrid w:val="0"/>
              <w:spacing w:before="93" w:beforeLines="30" w:after="93" w:afterLines="30" w:line="360" w:lineRule="auto"/>
              <w:ind w:right="105" w:rightChars="50" w:firstLine="420" w:firstLineChars="200"/>
              <w:textAlignment w:val="baseline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int="eastAsia" w:hAnsiTheme="minorEastAsia" w:eastAsiaTheme="minorEastAsia"/>
                <w:bCs/>
                <w:szCs w:val="21"/>
              </w:rPr>
              <w:t>参加了公司组织的演练，详见人事行政部审核记录。</w:t>
            </w:r>
          </w:p>
          <w:p>
            <w:pPr>
              <w:pStyle w:val="2"/>
              <w:spacing w:before="93" w:beforeLines="30" w:after="93" w:afterLines="30" w:line="360" w:lineRule="auto"/>
              <w:ind w:firstLine="420"/>
            </w:pPr>
            <w:r>
              <w:rPr>
                <w:rFonts w:hint="eastAsia"/>
              </w:rPr>
              <w:t>自体系运行以来尚未发生紧急情况。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符合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1028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D6073C"/>
    <w:rsid w:val="00077C43"/>
    <w:rsid w:val="000B7126"/>
    <w:rsid w:val="000B73B5"/>
    <w:rsid w:val="000D7264"/>
    <w:rsid w:val="000E66DA"/>
    <w:rsid w:val="0010361C"/>
    <w:rsid w:val="0011002D"/>
    <w:rsid w:val="00126C5C"/>
    <w:rsid w:val="001806B4"/>
    <w:rsid w:val="001C2865"/>
    <w:rsid w:val="001D798E"/>
    <w:rsid w:val="00237BA3"/>
    <w:rsid w:val="00265F0C"/>
    <w:rsid w:val="003048D6"/>
    <w:rsid w:val="00311D95"/>
    <w:rsid w:val="003465BC"/>
    <w:rsid w:val="003A09D6"/>
    <w:rsid w:val="003D788F"/>
    <w:rsid w:val="003E444A"/>
    <w:rsid w:val="003F3D63"/>
    <w:rsid w:val="0040010B"/>
    <w:rsid w:val="004173CC"/>
    <w:rsid w:val="00427533"/>
    <w:rsid w:val="0047493D"/>
    <w:rsid w:val="00497807"/>
    <w:rsid w:val="00562346"/>
    <w:rsid w:val="0057389E"/>
    <w:rsid w:val="005B77B8"/>
    <w:rsid w:val="005F2353"/>
    <w:rsid w:val="006133B9"/>
    <w:rsid w:val="0062752F"/>
    <w:rsid w:val="00662D0B"/>
    <w:rsid w:val="006E3607"/>
    <w:rsid w:val="00711B0B"/>
    <w:rsid w:val="007F67CC"/>
    <w:rsid w:val="00884CE0"/>
    <w:rsid w:val="00972CBE"/>
    <w:rsid w:val="009B38C6"/>
    <w:rsid w:val="009E48B4"/>
    <w:rsid w:val="009F699A"/>
    <w:rsid w:val="00A05F0D"/>
    <w:rsid w:val="00A819B9"/>
    <w:rsid w:val="00AA7018"/>
    <w:rsid w:val="00AB2003"/>
    <w:rsid w:val="00B12076"/>
    <w:rsid w:val="00B82470"/>
    <w:rsid w:val="00BD165C"/>
    <w:rsid w:val="00BF7A5C"/>
    <w:rsid w:val="00C175AB"/>
    <w:rsid w:val="00C25EAA"/>
    <w:rsid w:val="00C93AB1"/>
    <w:rsid w:val="00D6073C"/>
    <w:rsid w:val="00D63AED"/>
    <w:rsid w:val="00D81273"/>
    <w:rsid w:val="00DE3029"/>
    <w:rsid w:val="00DF57D4"/>
    <w:rsid w:val="00E93388"/>
    <w:rsid w:val="00ED11D8"/>
    <w:rsid w:val="00F427DB"/>
    <w:rsid w:val="00FB686D"/>
    <w:rsid w:val="00FD5F5B"/>
    <w:rsid w:val="01025F9D"/>
    <w:rsid w:val="04260DE5"/>
    <w:rsid w:val="084220AB"/>
    <w:rsid w:val="0C7F1A28"/>
    <w:rsid w:val="13673953"/>
    <w:rsid w:val="176710B2"/>
    <w:rsid w:val="27972C69"/>
    <w:rsid w:val="44B715F2"/>
    <w:rsid w:val="4FC74D6F"/>
    <w:rsid w:val="5582785D"/>
    <w:rsid w:val="58B64FB1"/>
    <w:rsid w:val="5B50232E"/>
    <w:rsid w:val="63D040CF"/>
    <w:rsid w:val="67F7033C"/>
    <w:rsid w:val="78DD71BC"/>
    <w:rsid w:val="79B344E7"/>
    <w:rsid w:val="7A3631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ind w:firstLine="720" w:firstLineChars="200"/>
    </w:pPr>
  </w:style>
  <w:style w:type="paragraph" w:styleId="3">
    <w:name w:val="Body Text Indent"/>
    <w:basedOn w:val="1"/>
    <w:link w:val="13"/>
    <w:semiHidden/>
    <w:unhideWhenUsed/>
    <w:uiPriority w:val="99"/>
    <w:pPr>
      <w:spacing w:after="120"/>
      <w:ind w:left="420" w:leftChars="2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正文文本缩进 字符"/>
    <w:basedOn w:val="8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2629</Words>
  <Characters>2786</Characters>
  <Lines>20</Lines>
  <Paragraphs>5</Paragraphs>
  <TotalTime>154</TotalTime>
  <ScaleCrop>false</ScaleCrop>
  <LinksUpToDate>false</LinksUpToDate>
  <CharactersWithSpaces>2808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2023-03-16T06:25:07Z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F27009E5E493430F88B188DBCA953E47</vt:lpwstr>
  </property>
</Properties>
</file>