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江西中建建材有限公司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万林芳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1" w:name="审核日期"/>
            <w:r>
              <w:rPr>
                <w:color w:val="000000"/>
              </w:rPr>
              <w:t>2023年03月13日 上午至2023年03月13日 下午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</w:rPr>
              <w:t>公司预拌混凝土的生产及其所涉及的相关管理活动均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参照国家、行业标准及顾客工程要求进行生产，不适用新产品设计开发</w:t>
            </w:r>
            <w:r>
              <w:rPr>
                <w:rFonts w:hint="eastAsia" w:ascii="宋体" w:hAnsi="宋体"/>
                <w:color w:val="000000"/>
                <w:spacing w:val="20"/>
                <w:sz w:val="21"/>
                <w:szCs w:val="21"/>
              </w:rPr>
              <w:t>其生产过程不涉及GB/T19001-2016/ISO 9001：2015标准中8.3条款内容，其不适用的要求不影响组织确保其产品和服务合格的能力和责任，对增强顾客满意也不会产生影响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sz w:val="21"/>
                <w:szCs w:val="21"/>
                <w:u w:val="single"/>
              </w:rPr>
              <w:t>按配合比要求计量（称重）和搅拌（定时控制）两个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计量准确、时间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sz w:val="21"/>
                <w:szCs w:val="21"/>
                <w:u w:val="single"/>
              </w:rPr>
              <w:t>按配合比要求计量（称重）和搅拌（定时控制）两个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2022年12月28日开展顾客满意度调查，满意率98%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搅拌主机、骨料输送系统、铲车、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砂石分离机等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数显抗压试验机、砼回弹仪、砼植入阻力仪、计量系统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26万方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35万方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bookmarkStart w:id="2" w:name="机构代码"/>
            <w:r>
              <w:rPr>
                <w:sz w:val="22"/>
                <w:szCs w:val="22"/>
              </w:rPr>
              <w:t>91360000677984339G</w:t>
            </w:r>
            <w:bookmarkEnd w:id="2"/>
            <w:r>
              <w:rPr>
                <w:rFonts w:hint="eastAsia"/>
                <w:sz w:val="22"/>
                <w:szCs w:val="22"/>
                <w:lang w:val="en-US" w:eastAsia="zh-CN"/>
              </w:rPr>
              <w:t>001W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2022年9月24日火灾等应急演练。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职业病危害因素检测</w:t>
            </w:r>
            <w:r>
              <w:rPr>
                <w:rFonts w:hint="eastAsia"/>
                <w:color w:val="000000"/>
                <w:szCs w:val="18"/>
              </w:rPr>
              <w:t>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GK-2022-005，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《体检报告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单</w:t>
            </w:r>
            <w:r>
              <w:rPr>
                <w:rFonts w:hint="eastAsia"/>
                <w:color w:val="000000"/>
                <w:szCs w:val="18"/>
              </w:rPr>
              <w:t>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bookmarkStart w:id="3" w:name="_GoBack"/>
            <w:bookmarkEnd w:id="3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2022年9月24日火灾等应急演练。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07366C6"/>
    <w:rsid w:val="3B893E51"/>
    <w:rsid w:val="63CA1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4893</Words>
  <Characters>5033</Characters>
  <Lines>92</Lines>
  <Paragraphs>26</Paragraphs>
  <TotalTime>18</TotalTime>
  <ScaleCrop>false</ScaleCrop>
  <LinksUpToDate>false</LinksUpToDate>
  <CharactersWithSpaces>5946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2023-03-13T06:34:44Z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