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0177-2023-EO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沧州浩兴管道有限公司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沧州浩兴管道有限公司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盐山县经济开发区蒲洼城园区常惠线入城段</w:t>
            </w:r>
            <w:bookmarkEnd w:id="6"/>
          </w:p>
        </w:tc>
        <w:tc>
          <w:tcPr>
            <w:tcW w:w="1242" w:type="dxa"/>
            <w:vMerge w:val="restart"/>
            <w:vAlign w:val="center"/>
          </w:tcPr>
          <w:p>
            <w:r>
              <w:rPr>
                <w:rFonts w:hint="eastAsia"/>
              </w:rPr>
              <w:t>邮编</w:t>
            </w:r>
          </w:p>
        </w:tc>
        <w:tc>
          <w:tcPr>
            <w:tcW w:w="1771" w:type="dxa"/>
          </w:tcPr>
          <w:p>
            <w:bookmarkStart w:id="7" w:name="注册邮编"/>
            <w:r>
              <w:t>061300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河北省沧州市盐山县正港开发区小微企业园1号楼</w:t>
            </w:r>
            <w:bookmarkEnd w:id="8"/>
          </w:p>
        </w:tc>
        <w:tc>
          <w:tcPr>
            <w:tcW w:w="1242" w:type="dxa"/>
            <w:vMerge w:val="continue"/>
            <w:vAlign w:val="center"/>
          </w:tcPr>
          <w:p/>
        </w:tc>
        <w:tc>
          <w:tcPr>
            <w:tcW w:w="1771" w:type="dxa"/>
          </w:tcPr>
          <w:p>
            <w:bookmarkStart w:id="9" w:name="办公邮编"/>
            <w:r>
              <w:t>061300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毕彦腾</w:t>
            </w:r>
            <w:bookmarkEnd w:id="10"/>
          </w:p>
        </w:tc>
        <w:tc>
          <w:tcPr>
            <w:tcW w:w="1313" w:type="dxa"/>
            <w:vAlign w:val="center"/>
          </w:tcPr>
          <w:p>
            <w:r>
              <w:rPr>
                <w:rFonts w:hint="eastAsia"/>
              </w:rPr>
              <w:t>电话.</w:t>
            </w:r>
          </w:p>
        </w:tc>
        <w:tc>
          <w:tcPr>
            <w:tcW w:w="2180" w:type="dxa"/>
            <w:vAlign w:val="center"/>
          </w:tcPr>
          <w:p>
            <w:bookmarkStart w:id="11" w:name="联系人电话"/>
            <w:r>
              <w:t>15831728999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付雅红</w:t>
            </w:r>
            <w:bookmarkEnd w:id="13"/>
          </w:p>
        </w:tc>
        <w:tc>
          <w:tcPr>
            <w:tcW w:w="1313" w:type="dxa"/>
            <w:vAlign w:val="center"/>
          </w:tcPr>
          <w:p>
            <w:r>
              <w:rPr>
                <w:rFonts w:hint="eastAsia"/>
              </w:rPr>
              <w:t>管理者代表</w:t>
            </w:r>
          </w:p>
        </w:tc>
        <w:tc>
          <w:tcPr>
            <w:tcW w:w="2180" w:type="dxa"/>
          </w:tcPr>
          <w:p>
            <w:bookmarkStart w:id="14" w:name="管理者代表"/>
            <w:r>
              <w:t>毕彦腾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color w:val="000000"/>
                <w:sz w:val="21"/>
                <w:szCs w:val="21"/>
              </w:rPr>
            </w:pPr>
            <w:r>
              <w:rPr>
                <w:rFonts w:hint="eastAsia"/>
                <w:sz w:val="21"/>
                <w:szCs w:val="21"/>
              </w:rPr>
              <w:t>顾客需求-合同评审-签订合同-产品采购-</w:t>
            </w:r>
            <w:r>
              <w:rPr>
                <w:rFonts w:hint="eastAsia"/>
                <w:sz w:val="21"/>
                <w:szCs w:val="21"/>
                <w:lang w:val="en-US" w:eastAsia="zh-CN"/>
              </w:rPr>
              <w:t>供方发货</w:t>
            </w:r>
            <w:r>
              <w:rPr>
                <w:rFonts w:hint="eastAsia"/>
                <w:sz w:val="21"/>
                <w:szCs w:val="21"/>
              </w:rPr>
              <w:t>-</w:t>
            </w:r>
            <w:r>
              <w:rPr>
                <w:rFonts w:hint="eastAsia"/>
                <w:sz w:val="21"/>
                <w:szCs w:val="21"/>
                <w:lang w:val="en-US" w:eastAsia="zh-CN"/>
              </w:rPr>
              <w:t>客户验收</w:t>
            </w:r>
            <w:r>
              <w:rPr>
                <w:rFonts w:hint="eastAsia"/>
                <w:sz w:val="21"/>
                <w:szCs w:val="21"/>
              </w:rPr>
              <w:t>-售后服务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2023年03月02日 上午至2023年03月03日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河北省沧州市盐山县正港开发区小微企业园1号楼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E：无缝钢管、螺旋钢管、直缝钢管、防腐保温管道、热浸塑电力钢管、PERT-2型保温管、钢衬四氟管道、衬塑钢管及配套管道管件的销售所涉及场所的相关环境管理活动</w:t>
            </w:r>
          </w:p>
          <w:p>
            <w:r>
              <w:t>O：无缝钢管、螺旋钢管、直缝钢管、防腐保温管道、热浸塑电力钢管、PERT-2型保温管、钢衬四氟管道、衬塑钢管及配套管道管件的销售所涉及场所的相关职业健康安全管理活动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E：29.11.04</w:t>
            </w:r>
          </w:p>
          <w:p>
            <w:r>
              <w:t>O：29.11.04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69"/>
        <w:gridCol w:w="680"/>
        <w:gridCol w:w="2780"/>
        <w:gridCol w:w="9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69" w:type="dxa"/>
            <w:shd w:val="clear" w:color="auto" w:fill="F3F3F3"/>
            <w:tcMar>
              <w:left w:w="57" w:type="dxa"/>
              <w:right w:w="57" w:type="dxa"/>
            </w:tcMar>
          </w:tcPr>
          <w:p>
            <w:r>
              <w:rPr>
                <w:rFonts w:hint="eastAsia"/>
              </w:rPr>
              <w:t>经营场所的地址</w:t>
            </w:r>
          </w:p>
          <w:p>
            <w:r>
              <w:rPr>
                <w:rFonts w:hint="eastAsia"/>
              </w:rPr>
              <w:t>（多现场和临时现场）</w:t>
            </w:r>
          </w:p>
        </w:tc>
        <w:tc>
          <w:tcPr>
            <w:tcW w:w="680" w:type="dxa"/>
            <w:shd w:val="clear" w:color="auto" w:fill="F3F3F3"/>
            <w:tcMar>
              <w:left w:w="57" w:type="dxa"/>
              <w:right w:w="57" w:type="dxa"/>
            </w:tcMar>
          </w:tcPr>
          <w:p>
            <w:r>
              <w:rPr>
                <w:rFonts w:hint="eastAsia"/>
              </w:rPr>
              <w:t>员工人数</w:t>
            </w:r>
          </w:p>
        </w:tc>
        <w:tc>
          <w:tcPr>
            <w:tcW w:w="2780" w:type="dxa"/>
            <w:shd w:val="clear" w:color="auto" w:fill="F3F3F3"/>
            <w:tcMar>
              <w:left w:w="57" w:type="dxa"/>
              <w:right w:w="57" w:type="dxa"/>
            </w:tcMar>
          </w:tcPr>
          <w:p>
            <w:r>
              <w:rPr>
                <w:rFonts w:hint="eastAsia"/>
              </w:rPr>
              <w:t>审核范围（产品和过程）</w:t>
            </w:r>
          </w:p>
          <w:p/>
          <w:p/>
        </w:tc>
        <w:tc>
          <w:tcPr>
            <w:tcW w:w="9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21"/>
                <w:szCs w:val="21"/>
              </w:rPr>
              <w:t>沧州浩兴管道有限公司</w:t>
            </w:r>
            <w:r>
              <w:rPr>
                <w:rFonts w:hint="eastAsia"/>
                <w:sz w:val="21"/>
                <w:szCs w:val="21"/>
                <w:lang w:val="en-US" w:eastAsia="zh-CN"/>
              </w:rPr>
              <w:t>/</w:t>
            </w:r>
            <w:r>
              <w:rPr>
                <w:sz w:val="21"/>
                <w:szCs w:val="21"/>
              </w:rPr>
              <w:t>盐山县经济开发区蒲洼城园区常惠线入城段</w:t>
            </w:r>
          </w:p>
        </w:tc>
        <w:tc>
          <w:tcPr>
            <w:tcW w:w="1869" w:type="dxa"/>
            <w:vAlign w:val="top"/>
          </w:tcPr>
          <w:p>
            <w:pPr>
              <w:spacing w:before="40" w:after="40"/>
              <w:rPr>
                <w:lang w:val="de-DE" w:eastAsia="ja-JP"/>
              </w:rPr>
            </w:pPr>
            <w:r>
              <w:rPr>
                <w:sz w:val="21"/>
                <w:szCs w:val="21"/>
              </w:rPr>
              <w:t>河北省沧州市盐山县正港开发区小微企业园1号楼</w:t>
            </w:r>
          </w:p>
        </w:tc>
        <w:tc>
          <w:tcPr>
            <w:tcW w:w="680" w:type="dxa"/>
            <w:vAlign w:val="center"/>
          </w:tcPr>
          <w:p>
            <w:pPr>
              <w:spacing w:before="40" w:after="40"/>
              <w:rPr>
                <w:lang w:eastAsia="ja-JP"/>
              </w:rPr>
            </w:pPr>
            <w:r>
              <w:rPr>
                <w:rFonts w:hint="eastAsia" w:eastAsia="黑体"/>
                <w:szCs w:val="21"/>
                <w:lang w:val="en-US" w:eastAsia="zh-CN"/>
              </w:rPr>
              <w:t>5</w:t>
            </w:r>
          </w:p>
        </w:tc>
        <w:tc>
          <w:tcPr>
            <w:tcW w:w="2780" w:type="dxa"/>
            <w:vAlign w:val="center"/>
          </w:tcPr>
          <w:p>
            <w:r>
              <w:t>E：无缝钢管、螺旋钢管、直缝钢管、</w:t>
            </w:r>
            <w:r>
              <w:rPr>
                <w:highlight w:val="none"/>
              </w:rPr>
              <w:t>防腐保温管道、热浸塑电力钢管、PERT-2型保温管、钢衬四氟管道、衬塑钢管及配套管</w:t>
            </w:r>
            <w:r>
              <w:t>道管件的销售所涉及场所的相关环境管理活动</w:t>
            </w:r>
          </w:p>
          <w:p>
            <w:pPr>
              <w:pStyle w:val="20"/>
              <w:rPr>
                <w:lang w:eastAsia="ja-JP"/>
              </w:rPr>
            </w:pPr>
            <w:r>
              <w:t>O：无缝钢管、螺旋钢管、直缝钢管、防腐保温管道、热浸塑电力钢管、PERT-2型保温管、钢衬四氟管道、衬塑钢管及配套管道管件的销售所涉及场所的相关职业健康安全管理活动</w:t>
            </w:r>
          </w:p>
        </w:tc>
        <w:tc>
          <w:tcPr>
            <w:tcW w:w="981" w:type="dxa"/>
            <w:vAlign w:val="center"/>
          </w:tcPr>
          <w:p>
            <w:pPr>
              <w:rPr>
                <w:rFonts w:hint="eastAsia" w:ascii="宋体" w:hAnsi="宋体"/>
                <w:b/>
                <w:sz w:val="21"/>
                <w:szCs w:val="21"/>
              </w:rPr>
            </w:pPr>
            <w:r>
              <w:rPr>
                <w:rFonts w:hint="eastAsia" w:ascii="宋体" w:hAnsi="宋体"/>
                <w:b/>
                <w:sz w:val="21"/>
                <w:szCs w:val="21"/>
              </w:rPr>
              <w:t xml:space="preserve">GB/T24001-2016/ISO 14001:2015 </w:t>
            </w:r>
          </w:p>
          <w:p>
            <w:pPr>
              <w:rPr>
                <w:rFonts w:ascii="宋体" w:hAnsi="宋体"/>
                <w:b/>
                <w:sz w:val="21"/>
                <w:szCs w:val="21"/>
              </w:rPr>
            </w:pPr>
            <w:r>
              <w:rPr>
                <w:rFonts w:hint="eastAsia" w:ascii="宋体" w:hAnsi="宋体"/>
                <w:b/>
                <w:sz w:val="21"/>
                <w:szCs w:val="21"/>
              </w:rPr>
              <w:t>GB/T 45001-2020/ISO45001：2018</w:t>
            </w:r>
          </w:p>
          <w:p>
            <w:pPr>
              <w:spacing w:before="40" w:after="40"/>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sz w:val="21"/>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869" w:type="dxa"/>
            <w:vAlign w:val="center"/>
          </w:tcPr>
          <w:p>
            <w:pPr>
              <w:rPr>
                <w:lang w:eastAsia="ja-JP"/>
              </w:rPr>
            </w:pPr>
          </w:p>
        </w:tc>
        <w:tc>
          <w:tcPr>
            <w:tcW w:w="680" w:type="dxa"/>
            <w:vAlign w:val="center"/>
          </w:tcPr>
          <w:p>
            <w:pPr>
              <w:rPr>
                <w:lang w:eastAsia="ja-JP"/>
              </w:rPr>
            </w:pPr>
          </w:p>
        </w:tc>
        <w:tc>
          <w:tcPr>
            <w:tcW w:w="2780" w:type="dxa"/>
            <w:vAlign w:val="center"/>
          </w:tcPr>
          <w:p>
            <w:pPr>
              <w:rPr>
                <w:lang w:eastAsia="ja-JP"/>
              </w:rPr>
            </w:pPr>
          </w:p>
        </w:tc>
        <w:tc>
          <w:tcPr>
            <w:tcW w:w="9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2021-N1EMS-3024421</w:t>
            </w:r>
          </w:p>
          <w:p>
            <w:r>
              <w:t>2021-N1OHSMS-3024421</w:t>
            </w:r>
          </w:p>
        </w:tc>
        <w:tc>
          <w:tcPr>
            <w:tcW w:w="2179" w:type="dxa"/>
            <w:vAlign w:val="center"/>
          </w:tcPr>
          <w:p>
            <w:r>
              <w:t>E:29.11.04</w:t>
            </w:r>
          </w:p>
          <w:p>
            <w:r>
              <w:t>O:29.11.04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范玲玲</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2023.3.3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产品运输</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ascii="宋体" w:hAnsi="宋体" w:eastAsia="宋体" w:cs="宋体"/>
                <w:b w:val="0"/>
                <w:bCs/>
                <w:sz w:val="21"/>
                <w:szCs w:val="21"/>
              </w:rPr>
              <w:t>营造绿色环境，遵守法律法规，提高环境意识；推进控制保护，提高人员素质，持续改进管理</w:t>
            </w:r>
            <w:r>
              <w:rPr>
                <w:rFonts w:hint="eastAsia" w:ascii="宋体" w:hAnsi="宋体" w:eastAsia="宋体" w:cs="宋体"/>
                <w:b w:val="0"/>
                <w:bCs/>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cs="宋体"/>
                    </w:rPr>
                    <w:t>本产业技术简单雷同，同类型企业非常多，竞争较为激烈。</w:t>
                  </w:r>
                </w:p>
              </w:tc>
              <w:tc>
                <w:tcPr>
                  <w:tcW w:w="3965" w:type="dxa"/>
                  <w:vAlign w:val="center"/>
                </w:tcPr>
                <w:p>
                  <w:pPr>
                    <w:rPr>
                      <w:rFonts w:hint="eastAsia" w:cs="宋体"/>
                    </w:rPr>
                  </w:pPr>
                  <w:r>
                    <w:rPr>
                      <w:rFonts w:hint="eastAsia" w:cs="宋体"/>
                    </w:rPr>
                    <w:t>产品质量能够满足用户要求；公司主打国内市场开拓力度较大。</w:t>
                  </w:r>
                </w:p>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宋体"/>
                      <w:i w:val="0"/>
                      <w:iCs w:val="0"/>
                      <w:color w:val="000000"/>
                      <w:kern w:val="2"/>
                      <w:sz w:val="20"/>
                      <w:szCs w:val="20"/>
                      <w:u w:val="none"/>
                      <w:lang w:val="en-US" w:eastAsia="zh-CN" w:bidi="ar-SA"/>
                    </w:rPr>
                  </w:pPr>
                  <w:r>
                    <w:rPr>
                      <w:rFonts w:hint="eastAsia" w:cs="宋体"/>
                    </w:rPr>
                    <w:t>回款不稳定。同行业竞争加剧</w:t>
                  </w:r>
                  <w:r>
                    <w:rPr>
                      <w:rFonts w:hint="eastAsia" w:cs="宋体"/>
                      <w:lang w:eastAsia="zh-CN"/>
                    </w:rPr>
                    <w:t>。</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加大市场需求量</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bCs/>
                      <w:color w:val="auto"/>
                      <w:sz w:val="21"/>
                      <w:szCs w:val="21"/>
                      <w:highlight w:val="none"/>
                    </w:rPr>
                    <w:t>固体废弃物分类处理率达100%</w:t>
                  </w:r>
                </w:p>
              </w:tc>
              <w:tc>
                <w:tcPr>
                  <w:tcW w:w="3136"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GB" w:eastAsia="zh-CN" w:bidi="ar-SA"/>
                    </w:rPr>
                  </w:pPr>
                  <w:r>
                    <w:rPr>
                      <w:rFonts w:hint="eastAsia" w:ascii="宋体" w:hAnsi="宋体" w:eastAsia="宋体" w:cs="宋体"/>
                      <w:i w:val="0"/>
                      <w:iCs w:val="0"/>
                      <w:color w:val="000000"/>
                      <w:kern w:val="0"/>
                      <w:sz w:val="20"/>
                      <w:szCs w:val="20"/>
                      <w:u w:val="none"/>
                      <w:lang w:val="en-US" w:eastAsia="zh-CN" w:bidi="ar"/>
                    </w:rPr>
                    <w:t>实际分类处理的次数/规定需分类处理的次数*100%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GB"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约1</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u w:val="single"/>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pPr>
            <w:r>
              <w:rPr>
                <w:rFonts w:hint="eastAsia"/>
              </w:rPr>
              <w:t>特种设备：不适用</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ascii="Wingdings" w:hAnsi="Wingdings"/>
              </w:rPr>
              <w:t>¨</w:t>
            </w:r>
            <w:r>
              <w:rPr>
                <w:rFonts w:hint="eastAsia"/>
                <w:lang w:val="en-US" w:eastAsia="zh-CN"/>
              </w:rPr>
              <w:t>无</w:t>
            </w:r>
          </w:p>
          <w:p>
            <w:pPr>
              <w:shd w:val="clear" w:color="auto" w:fill="EBF1DE" w:themeFill="accent3" w:themeFillTint="32"/>
            </w:pPr>
            <w:r>
              <w:rPr>
                <w:rFonts w:hint="eastAsia"/>
              </w:rPr>
              <w:t>特种设备作业人员：</w:t>
            </w:r>
            <w:r>
              <w:rPr>
                <w:rFonts w:hint="eastAsia" w:ascii="Wingdings" w:hAnsi="Wingdings"/>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 ■会议传达 ■标语 ■培训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leftChars="0" w:right="0" w:rightChars="0"/>
              <w:jc w:val="left"/>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日进行了的</w:t>
            </w:r>
            <w:r>
              <w:rPr>
                <w:rFonts w:hint="eastAsia"/>
                <w:lang w:val="en-US" w:eastAsia="zh-CN"/>
              </w:rPr>
              <w:t>火灾</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615"/>
        <w:gridCol w:w="1070"/>
        <w:gridCol w:w="654"/>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107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65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1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5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1070"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107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54"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1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10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3（合并）</w:t>
            </w:r>
          </w:p>
        </w:tc>
        <w:tc>
          <w:tcPr>
            <w:tcW w:w="65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1070" w:type="dxa"/>
            <w:shd w:val="clear" w:color="auto" w:fill="EBF1DE" w:themeFill="accent3" w:themeFillTint="32"/>
            <w:vAlign w:val="center"/>
          </w:tcPr>
          <w:p>
            <w:pPr>
              <w:shd w:val="clear" w:color="auto" w:fill="EBF1DE" w:themeFill="accent3" w:themeFillTint="32"/>
              <w:rPr>
                <w:lang w:eastAsia="ja-JP"/>
              </w:rPr>
            </w:pPr>
          </w:p>
        </w:tc>
        <w:tc>
          <w:tcPr>
            <w:tcW w:w="654"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产品运输</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ascii="宋体" w:hAnsi="宋体" w:eastAsia="宋体" w:cs="宋体"/>
                <w:b w:val="0"/>
                <w:bCs/>
                <w:sz w:val="21"/>
                <w:szCs w:val="21"/>
              </w:rPr>
              <w:t>营造绿色环境，遵守法律法规，提高环境意识；推进控制保护，提高人员素质，持续改进管理</w:t>
            </w:r>
            <w:r>
              <w:rPr>
                <w:rFonts w:hint="eastAsia" w:ascii="宋体" w:hAnsi="宋体" w:eastAsia="宋体" w:cs="宋体"/>
                <w:b w:val="0"/>
                <w:bCs/>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w:t>
            </w:r>
            <w:bookmarkStart w:id="34" w:name="_GoBack"/>
            <w:bookmarkEnd w:id="34"/>
            <w:r>
              <w:rPr>
                <w:rFonts w:hint="eastAsia"/>
              </w:rPr>
              <w:t>价和改进职业健康安全管理体系。</w:t>
            </w:r>
          </w:p>
          <w:p/>
          <w:p>
            <w:pPr>
              <w:rPr>
                <w:rFonts w:hint="eastAsia" w:eastAsia="宋体"/>
                <w:lang w:val="en-US" w:eastAsia="zh-CN"/>
              </w:rPr>
            </w:pPr>
            <w:r>
              <w:rPr>
                <w:rFonts w:hint="eastAsia"/>
              </w:rPr>
              <w:t>员工代表是——</w:t>
            </w:r>
            <w:r>
              <w:rPr>
                <w:rFonts w:hint="eastAsia"/>
                <w:lang w:val="en-US" w:eastAsia="zh-CN"/>
              </w:rPr>
              <w:t>毕声扬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tabs>
                      <w:tab w:val="left" w:pos="1890"/>
                    </w:tabs>
                  </w:pPr>
                  <w:r>
                    <w:rPr>
                      <w:rFonts w:hint="eastAsia" w:ascii="Times New Roman" w:hAnsi="Times New Roman" w:eastAsia="宋体" w:cs="Times New Roman"/>
                      <w:lang w:val="en-US" w:eastAsia="zh-CN"/>
                    </w:rPr>
                    <w:t>危险源的识别</w:t>
                  </w:r>
                </w:p>
              </w:tc>
              <w:tc>
                <w:tcPr>
                  <w:tcW w:w="3965" w:type="dxa"/>
                  <w:vAlign w:val="top"/>
                </w:tcPr>
                <w:p>
                  <w:pPr>
                    <w:shd w:val="clear" w:color="auto" w:fill="C7DAF1" w:themeFill="text2" w:themeFillTint="32"/>
                    <w:tabs>
                      <w:tab w:val="left" w:pos="1890"/>
                    </w:tabs>
                  </w:pPr>
                  <w:r>
                    <w:rPr>
                      <w:rFonts w:hint="eastAsia"/>
                      <w:lang w:val="en-US" w:eastAsia="zh-CN"/>
                    </w:rPr>
                    <w:t>全面识别</w:t>
                  </w:r>
                </w:p>
              </w:tc>
              <w:tc>
                <w:tcPr>
                  <w:tcW w:w="1717" w:type="dxa"/>
                  <w:vAlign w:val="top"/>
                </w:tcPr>
                <w:p>
                  <w:pPr>
                    <w:shd w:val="clear" w:color="auto" w:fill="C7DAF1" w:themeFill="text2" w:themeFillTint="32"/>
                    <w:tabs>
                      <w:tab w:val="left" w:pos="1890"/>
                    </w:tabs>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tabs>
                      <w:tab w:val="left" w:pos="1890"/>
                    </w:tabs>
                  </w:pPr>
                  <w:r>
                    <w:rPr>
                      <w:rFonts w:hint="eastAsia" w:ascii="Times New Roman" w:hAnsi="Times New Roman" w:eastAsia="宋体" w:cs="Times New Roman"/>
                      <w:lang w:val="en-US" w:eastAsia="zh-CN"/>
                    </w:rPr>
                    <w:t>重大风险的控制</w:t>
                  </w:r>
                </w:p>
              </w:tc>
              <w:tc>
                <w:tcPr>
                  <w:tcW w:w="3965" w:type="dxa"/>
                  <w:vAlign w:val="top"/>
                </w:tcPr>
                <w:p>
                  <w:pPr>
                    <w:shd w:val="clear" w:color="auto" w:fill="C7DAF1" w:themeFill="text2" w:themeFillTint="32"/>
                    <w:tabs>
                      <w:tab w:val="left" w:pos="1890"/>
                    </w:tabs>
                  </w:pPr>
                  <w:r>
                    <w:rPr>
                      <w:rFonts w:hint="eastAsia"/>
                      <w:lang w:val="en-US" w:eastAsia="zh-CN"/>
                    </w:rPr>
                    <w:t>按照管控措施进行控制</w:t>
                  </w:r>
                </w:p>
              </w:tc>
              <w:tc>
                <w:tcPr>
                  <w:tcW w:w="1717" w:type="dxa"/>
                  <w:vAlign w:val="top"/>
                </w:tcPr>
                <w:p>
                  <w:pPr>
                    <w:shd w:val="clear" w:color="auto" w:fill="C7DAF1" w:themeFill="text2" w:themeFillTint="32"/>
                    <w:tabs>
                      <w:tab w:val="left" w:pos="1890"/>
                    </w:tabs>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tabs>
                      <w:tab w:val="left" w:pos="1890"/>
                    </w:tabs>
                  </w:pPr>
                  <w:r>
                    <w:rPr>
                      <w:rFonts w:hint="eastAsia"/>
                      <w:lang w:val="en-US" w:eastAsia="zh-CN"/>
                    </w:rPr>
                    <w:t>法律法规的缺失、不识别</w:t>
                  </w:r>
                </w:p>
              </w:tc>
              <w:tc>
                <w:tcPr>
                  <w:tcW w:w="3965" w:type="dxa"/>
                  <w:vAlign w:val="top"/>
                </w:tcPr>
                <w:p>
                  <w:pPr>
                    <w:shd w:val="clear" w:color="auto" w:fill="C7DAF1" w:themeFill="text2" w:themeFillTint="32"/>
                    <w:tabs>
                      <w:tab w:val="left" w:pos="1890"/>
                    </w:tabs>
                  </w:pPr>
                  <w:r>
                    <w:rPr>
                      <w:rFonts w:hint="eastAsia"/>
                      <w:lang w:val="en-US" w:eastAsia="zh-CN"/>
                    </w:rPr>
                    <w:t>及时更新相关法律法规标准</w:t>
                  </w:r>
                </w:p>
              </w:tc>
              <w:tc>
                <w:tcPr>
                  <w:tcW w:w="1717" w:type="dxa"/>
                  <w:vAlign w:val="top"/>
                </w:tcPr>
                <w:p>
                  <w:pPr>
                    <w:shd w:val="clear" w:color="auto" w:fill="C7DAF1" w:themeFill="text2" w:themeFillTint="32"/>
                    <w:tabs>
                      <w:tab w:val="left" w:pos="1890"/>
                    </w:tabs>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tabs>
                      <w:tab w:val="left" w:pos="1890"/>
                    </w:tabs>
                  </w:pPr>
                  <w:r>
                    <w:rPr>
                      <w:rFonts w:hint="eastAsia"/>
                      <w:lang w:val="en-US" w:eastAsia="zh-CN"/>
                    </w:rPr>
                    <w:t>事故事件的发生</w:t>
                  </w:r>
                </w:p>
              </w:tc>
              <w:tc>
                <w:tcPr>
                  <w:tcW w:w="3965" w:type="dxa"/>
                  <w:vAlign w:val="top"/>
                </w:tcPr>
                <w:p>
                  <w:pPr>
                    <w:shd w:val="clear" w:color="auto" w:fill="C7DAF1" w:themeFill="text2" w:themeFillTint="32"/>
                    <w:tabs>
                      <w:tab w:val="left" w:pos="1890"/>
                    </w:tabs>
                  </w:pPr>
                  <w:r>
                    <w:rPr>
                      <w:rFonts w:hint="eastAsia"/>
                      <w:lang w:val="en-US" w:eastAsia="zh-CN"/>
                    </w:rPr>
                    <w:t>按照事故处置原则</w:t>
                  </w:r>
                </w:p>
              </w:tc>
              <w:tc>
                <w:tcPr>
                  <w:tcW w:w="1717" w:type="dxa"/>
                  <w:vAlign w:val="top"/>
                </w:tcPr>
                <w:p>
                  <w:pPr>
                    <w:shd w:val="clear" w:color="auto" w:fill="C7DAF1" w:themeFill="text2" w:themeFillTint="32"/>
                    <w:tabs>
                      <w:tab w:val="left" w:pos="1890"/>
                    </w:tabs>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不发生火灾触电事故</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宋体" w:hAnsi="宋体"/>
                      <w:lang w:val="en-US" w:eastAsia="zh-CN"/>
                    </w:rPr>
                    <w:t>按照操作规程执行</w:t>
                  </w:r>
                </w:p>
              </w:tc>
              <w:tc>
                <w:tcPr>
                  <w:tcW w:w="1350" w:type="dxa"/>
                  <w:shd w:val="clear" w:color="auto" w:fill="auto"/>
                  <w:vAlign w:val="center"/>
                </w:tcPr>
                <w:p>
                  <w:pPr>
                    <w:rPr>
                      <w:rFonts w:hint="eastAsia" w:ascii="宋体" w:hAnsi="宋体" w:eastAsia="宋体" w:cs="Times New Roman"/>
                      <w:kern w:val="2"/>
                      <w:sz w:val="21"/>
                      <w:szCs w:val="24"/>
                      <w:lang w:val="en-GB"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w:t>
            </w:r>
            <w:r>
              <w:rPr>
                <w:rFonts w:hint="eastAsia"/>
                <w:lang w:val="en-US" w:eastAsia="zh-CN"/>
              </w:rPr>
              <w:t>0</w:t>
            </w:r>
            <w:r>
              <w:rPr>
                <w:rFonts w:hint="eastAsia"/>
              </w:rPr>
              <w:t>个；实验室个；</w:t>
            </w:r>
          </w:p>
          <w:p>
            <w:pPr>
              <w:rPr>
                <w:u w:val="single"/>
              </w:rPr>
            </w:pPr>
            <w:r>
              <w:rPr>
                <w:rFonts w:hint="eastAsia"/>
              </w:rPr>
              <w:t>主要生产设备有：</w:t>
            </w:r>
            <w:r>
              <w:rPr>
                <w:rFonts w:hint="eastAsia"/>
                <w:u w:val="single"/>
              </w:rPr>
              <w:t>（列举2~4种）</w:t>
            </w:r>
          </w:p>
          <w:p>
            <w:r>
              <w:rPr>
                <w:rFonts w:hint="eastAsia"/>
              </w:rPr>
              <w:t>主要安全装置有：</w:t>
            </w:r>
          </w:p>
          <w:p>
            <w:pPr>
              <w:rPr>
                <w:u w:val="single"/>
              </w:rPr>
            </w:pPr>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vAlign w:val="top"/>
                </w:tcPr>
                <w:p>
                  <w:pPr>
                    <w:jc w:val="left"/>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vAlign w:val="top"/>
                </w:tcPr>
                <w:p>
                  <w:pPr>
                    <w:jc w:val="left"/>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配置灭火器，对员工进行培训，进行消防演练</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130968DB"/>
    <w:rsid w:val="166873B0"/>
    <w:rsid w:val="179E4422"/>
    <w:rsid w:val="399563D0"/>
    <w:rsid w:val="5DF82CC3"/>
    <w:rsid w:val="61794531"/>
    <w:rsid w:val="62480467"/>
    <w:rsid w:val="70903091"/>
    <w:rsid w:val="72D96646"/>
    <w:rsid w:val="7F7A34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14765</Words>
  <Characters>15489</Characters>
  <Lines>150</Lines>
  <Paragraphs>42</Paragraphs>
  <TotalTime>1</TotalTime>
  <ScaleCrop>false</ScaleCrop>
  <LinksUpToDate>false</LinksUpToDate>
  <CharactersWithSpaces>15696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2023-03-03T03:18:46Z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