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沧州浩兴管道有限公司</w:t>
            </w:r>
            <w:bookmarkEnd w:id="0"/>
            <w:r>
              <w:rPr>
                <w:rFonts w:hint="eastAsia"/>
                <w:color w:val="000000"/>
                <w:sz w:val="24"/>
                <w:szCs w:val="24"/>
                <w:lang w:val="en-US" w:eastAsia="zh-CN"/>
              </w:rPr>
              <w:t>管理层、办公室、销售部</w:t>
            </w:r>
            <w:r>
              <w:rPr>
                <w:rFonts w:hint="eastAsia"/>
                <w:color w:val="000000"/>
                <w:sz w:val="24"/>
                <w:szCs w:val="24"/>
              </w:rPr>
              <w:t xml:space="preserve">      </w:t>
            </w:r>
            <w:r>
              <w:rPr>
                <w:rFonts w:hint="eastAsia"/>
                <w:color w:val="000000"/>
                <w:sz w:val="24"/>
                <w:szCs w:val="24"/>
                <w:highlight w:val="none"/>
              </w:rPr>
              <w:t>陪同人员</w:t>
            </w:r>
            <w:r>
              <w:rPr>
                <w:rFonts w:hint="eastAsia"/>
                <w:color w:val="000000"/>
                <w:sz w:val="24"/>
                <w:szCs w:val="24"/>
              </w:rPr>
              <w:t>：</w:t>
            </w:r>
            <w:r>
              <w:rPr>
                <w:rFonts w:hint="eastAsia"/>
                <w:color w:val="000000"/>
                <w:sz w:val="24"/>
                <w:szCs w:val="24"/>
                <w:lang w:val="en-US" w:eastAsia="zh-CN"/>
              </w:rPr>
              <w:t>范俊博</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范玲玲</w:t>
            </w:r>
            <w:r>
              <w:rPr>
                <w:rFonts w:hint="eastAsia"/>
                <w:color w:val="000000"/>
                <w:sz w:val="24"/>
                <w:szCs w:val="24"/>
              </w:rPr>
              <w:t xml:space="preserve">             审核时间：</w:t>
            </w:r>
            <w:bookmarkStart w:id="2" w:name="审核日期"/>
            <w:r>
              <w:rPr>
                <w:color w:val="000000"/>
              </w:rPr>
              <w:t>2023年03月01日 上午至2023年03月01日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240" w:lineRule="auto"/>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：91130925MA097FFAIU </w:t>
            </w:r>
            <w:r>
              <w:rPr>
                <w:rFonts w:hint="eastAsia"/>
                <w:color w:val="000000"/>
                <w:szCs w:val="21"/>
              </w:rPr>
              <w:t>； 有效期：</w:t>
            </w:r>
            <w:r>
              <w:rPr>
                <w:rFonts w:hint="eastAsia"/>
                <w:color w:val="000000"/>
                <w:szCs w:val="21"/>
                <w:lang w:val="en-US" w:eastAsia="zh-CN"/>
              </w:rPr>
              <w:t>2017.10.25—2037.10.24</w:t>
            </w:r>
            <w:r>
              <w:rPr>
                <w:rFonts w:hint="eastAsia"/>
                <w:color w:val="000000"/>
                <w:szCs w:val="21"/>
              </w:rPr>
              <w:t>；</w:t>
            </w:r>
          </w:p>
          <w:p>
            <w:pPr>
              <w:spacing w:line="240" w:lineRule="auto"/>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：无缝钢管、螺旋钢管、直</w:t>
            </w:r>
            <w:r>
              <w:rPr>
                <w:rFonts w:hint="eastAsia"/>
                <w:color w:val="000000"/>
                <w:szCs w:val="21"/>
                <w:lang w:val="en-US" w:eastAsia="zh-CN"/>
              </w:rPr>
              <w:t>缝</w:t>
            </w:r>
            <w:r>
              <w:rPr>
                <w:rFonts w:hint="eastAsia"/>
                <w:color w:val="000000"/>
                <w:szCs w:val="21"/>
              </w:rPr>
              <w:t>钢管、管线管、管材、钢管、</w:t>
            </w:r>
            <w:r>
              <w:rPr>
                <w:rFonts w:hint="eastAsia"/>
                <w:color w:val="000000"/>
                <w:szCs w:val="21"/>
                <w:lang w:val="en-US" w:eastAsia="zh-CN"/>
              </w:rPr>
              <w:t>防腐</w:t>
            </w:r>
            <w:r>
              <w:rPr>
                <w:rFonts w:hint="eastAsia"/>
                <w:color w:val="000000"/>
                <w:szCs w:val="21"/>
              </w:rPr>
              <w:t>保温管件、法兰、弯头、封头、管道配件系列、管道支吊架、钢衬F4、PO、PE、PP管道系列、燃气管、石油管道、化工管道、线材、钢材、螺纹钢、板材、五金交电、金属材料、建筑材料、电子产品、成套设备的销售及以上商品的进出口业务。（依法须经批准的项目，经相关部门批准后方可开展经营活动）；</w:t>
            </w:r>
          </w:p>
          <w:p>
            <w:pPr>
              <w:spacing w:line="240" w:lineRule="auto"/>
              <w:rPr>
                <w:rFonts w:hint="eastAsia"/>
                <w:color w:val="000000"/>
              </w:rPr>
            </w:pPr>
            <w:r>
              <w:rPr>
                <w:rFonts w:hint="eastAsia"/>
                <w:color w:val="000000"/>
              </w:rPr>
              <w:t>认证申请范围：</w:t>
            </w:r>
            <w:bookmarkStart w:id="3" w:name="审核范围"/>
          </w:p>
          <w:p>
            <w:pPr>
              <w:spacing w:line="240" w:lineRule="auto"/>
              <w:ind w:firstLine="420" w:firstLineChars="200"/>
            </w:pPr>
            <w:r>
              <w:t>E：无缝钢管、螺旋钢管、直缝钢管、</w:t>
            </w:r>
            <w:r>
              <w:rPr>
                <w:highlight w:val="none"/>
              </w:rPr>
              <w:t>防腐保温管道、热浸塑电力钢管、PERT-2型保温管、钢衬四氟管道、衬塑钢管及配套管</w:t>
            </w:r>
            <w:r>
              <w:t>道管件的销售所涉及场所的相关环境管理活动</w:t>
            </w:r>
          </w:p>
          <w:p>
            <w:pPr>
              <w:spacing w:line="240" w:lineRule="auto"/>
              <w:ind w:firstLine="420" w:firstLineChars="200"/>
              <w:rPr>
                <w:color w:val="000000"/>
              </w:rPr>
            </w:pPr>
            <w:r>
              <w:t>O：无缝钢管、螺旋钢管、直缝钢管、防腐保温管道、热浸塑电力钢管、PERT-2型保温管、钢衬四氟管道、衬塑钢管及配套管道管件的销售所涉及场所的相关职业健康安全管理活动</w:t>
            </w:r>
            <w:bookmarkEnd w:id="3"/>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盐山县经济开发区蒲洼城园区常惠线入城段</w:t>
            </w:r>
            <w:bookmarkEnd w:id="4"/>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bookmarkStart w:id="5" w:name="生产地址"/>
            <w:r>
              <w:rPr>
                <w:sz w:val="21"/>
                <w:szCs w:val="21"/>
              </w:rPr>
              <w:t>河北省沧州市盐山县正港开发区小微企业园1号楼</w:t>
            </w:r>
            <w:bookmarkEnd w:id="5"/>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 w:val="21"/>
                <w:szCs w:val="21"/>
              </w:rPr>
            </w:pPr>
            <w:r>
              <w:rPr>
                <w:rFonts w:hint="eastAsia"/>
                <w:sz w:val="21"/>
                <w:szCs w:val="21"/>
              </w:rPr>
              <w:t>顾客需求-合同评审-签订合同-产品采购-</w:t>
            </w:r>
            <w:r>
              <w:rPr>
                <w:rFonts w:hint="eastAsia"/>
                <w:sz w:val="21"/>
                <w:szCs w:val="21"/>
                <w:lang w:val="en-US" w:eastAsia="zh-CN"/>
              </w:rPr>
              <w:t>供方发货</w:t>
            </w:r>
            <w:r>
              <w:rPr>
                <w:rFonts w:hint="eastAsia"/>
                <w:sz w:val="21"/>
                <w:szCs w:val="21"/>
              </w:rPr>
              <w:t>-</w:t>
            </w:r>
            <w:r>
              <w:rPr>
                <w:rFonts w:hint="eastAsia"/>
                <w:sz w:val="21"/>
                <w:szCs w:val="21"/>
                <w:lang w:val="en-US" w:eastAsia="zh-CN"/>
              </w:rPr>
              <w:t>客户验收</w:t>
            </w:r>
            <w:r>
              <w:rPr>
                <w:rFonts w:hint="eastAsia"/>
                <w:sz w:val="21"/>
                <w:szCs w:val="21"/>
              </w:rPr>
              <w:t>-售后服务</w:t>
            </w:r>
          </w:p>
          <w:p>
            <w:pPr>
              <w:rPr>
                <w:color w:val="000000"/>
                <w:szCs w:val="18"/>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w:t>
            </w:r>
            <w:r>
              <w:rPr>
                <w:rFonts w:hint="eastAsia"/>
                <w:color w:val="000000"/>
                <w:szCs w:val="21"/>
                <w:lang w:val="en-US" w:eastAsia="zh-CN"/>
              </w:rPr>
              <w:t>5</w:t>
            </w:r>
            <w:r>
              <w:rPr>
                <w:rFonts w:hint="eastAsia"/>
                <w:color w:val="000000"/>
                <w:szCs w:val="21"/>
              </w:rPr>
              <w:t>（总计</w:t>
            </w:r>
            <w:r>
              <w:rPr>
                <w:rFonts w:hint="eastAsia"/>
                <w:color w:val="000000"/>
                <w:szCs w:val="21"/>
                <w:lang w:val="en-US" w:eastAsia="zh-CN"/>
              </w:rPr>
              <w:t>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19</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产品运输</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ascii="宋体" w:hAnsi="宋体" w:eastAsia="宋体" w:cs="宋体"/>
                <w:b w:val="0"/>
                <w:bCs/>
                <w:sz w:val="21"/>
                <w:szCs w:val="21"/>
                <w:lang w:eastAsia="zh-CN"/>
              </w:rPr>
            </w:pPr>
            <w:r>
              <w:rPr>
                <w:rFonts w:hint="eastAsia"/>
                <w:color w:val="000000"/>
                <w:szCs w:val="18"/>
              </w:rPr>
              <w:t>组织文件化的管理方针已制定，内容为：</w:t>
            </w:r>
            <w:r>
              <w:rPr>
                <w:rFonts w:hint="eastAsia" w:ascii="宋体" w:hAnsi="宋体" w:eastAsia="宋体" w:cs="宋体"/>
                <w:b w:val="0"/>
                <w:bCs/>
                <w:sz w:val="21"/>
                <w:szCs w:val="21"/>
              </w:rPr>
              <w:t>营造绿色环境，遵守法律法规，提高环境意识；推进控制保护，提高人员素质，持续改进管理</w:t>
            </w:r>
            <w:r>
              <w:rPr>
                <w:rFonts w:hint="eastAsia" w:ascii="宋体" w:hAnsi="宋体" w:eastAsia="宋体" w:cs="宋体"/>
                <w:b w:val="0"/>
                <w:bCs/>
                <w:sz w:val="21"/>
                <w:szCs w:val="21"/>
                <w:lang w:eastAsia="zh-CN"/>
              </w:rPr>
              <w:t>。</w:t>
            </w:r>
          </w:p>
          <w:p>
            <w:pPr>
              <w:widowControl/>
              <w:spacing w:before="40"/>
              <w:jc w:val="left"/>
              <w:rPr>
                <w:color w:val="000000"/>
                <w:spacing w:val="-2"/>
                <w:szCs w:val="21"/>
              </w:rPr>
            </w:pPr>
            <w:bookmarkStart w:id="6" w:name="_GoBack"/>
            <w:bookmarkEnd w:id="6"/>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1370"/>
              <w:gridCol w:w="1300"/>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widowControl/>
                    <w:spacing w:before="40"/>
                    <w:jc w:val="left"/>
                    <w:rPr>
                      <w:color w:val="000000"/>
                      <w:szCs w:val="18"/>
                    </w:rPr>
                  </w:pPr>
                  <w:r>
                    <w:rPr>
                      <w:rFonts w:hint="eastAsia"/>
                      <w:color w:val="000000"/>
                      <w:szCs w:val="18"/>
                    </w:rPr>
                    <w:t>目标</w:t>
                  </w:r>
                </w:p>
              </w:tc>
              <w:tc>
                <w:tcPr>
                  <w:tcW w:w="1370" w:type="dxa"/>
                </w:tcPr>
                <w:p>
                  <w:pPr>
                    <w:widowControl/>
                    <w:spacing w:before="40"/>
                    <w:jc w:val="left"/>
                    <w:rPr>
                      <w:color w:val="000000"/>
                      <w:szCs w:val="18"/>
                    </w:rPr>
                  </w:pPr>
                  <w:r>
                    <w:rPr>
                      <w:rFonts w:hint="eastAsia"/>
                      <w:color w:val="000000"/>
                      <w:szCs w:val="18"/>
                    </w:rPr>
                    <w:t>考核频次</w:t>
                  </w:r>
                </w:p>
              </w:tc>
              <w:tc>
                <w:tcPr>
                  <w:tcW w:w="1300" w:type="dxa"/>
                </w:tcPr>
                <w:p>
                  <w:pPr>
                    <w:widowControl/>
                    <w:spacing w:before="40"/>
                    <w:jc w:val="left"/>
                    <w:rPr>
                      <w:color w:val="000000"/>
                      <w:szCs w:val="18"/>
                    </w:rPr>
                  </w:pPr>
                  <w:r>
                    <w:rPr>
                      <w:rFonts w:hint="eastAsia"/>
                      <w:color w:val="000000"/>
                      <w:szCs w:val="18"/>
                    </w:rPr>
                    <w:t>计算方法</w:t>
                  </w:r>
                </w:p>
              </w:tc>
              <w:tc>
                <w:tcPr>
                  <w:tcW w:w="3959" w:type="dxa"/>
                </w:tcPr>
                <w:p>
                  <w:pPr>
                    <w:widowControl/>
                    <w:spacing w:before="40"/>
                    <w:jc w:val="left"/>
                    <w:rPr>
                      <w:color w:val="000000"/>
                      <w:szCs w:val="18"/>
                    </w:rPr>
                  </w:pPr>
                  <w:r>
                    <w:rPr>
                      <w:rFonts w:hint="eastAsia"/>
                      <w:color w:val="000000"/>
                      <w:szCs w:val="18"/>
                    </w:rPr>
                    <w:t>完成情况（审核周期</w:t>
                  </w:r>
                  <w:r>
                    <w:rPr>
                      <w:rFonts w:hint="eastAsia"/>
                      <w:color w:val="000000"/>
                      <w:szCs w:val="18"/>
                      <w:lang w:val="en-US" w:eastAsia="zh-CN"/>
                    </w:rPr>
                    <w:t>2022年第4季度</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widowControl/>
                    <w:spacing w:before="4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固体废弃物分类处理率达100%</w:t>
                  </w:r>
                </w:p>
              </w:tc>
              <w:tc>
                <w:tcPr>
                  <w:tcW w:w="1370" w:type="dxa"/>
                </w:tcPr>
                <w:p>
                  <w:pPr>
                    <w:widowControl/>
                    <w:spacing w:before="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每季度一次</w:t>
                  </w:r>
                </w:p>
              </w:tc>
              <w:tc>
                <w:tcPr>
                  <w:tcW w:w="1300" w:type="dxa"/>
                </w:tcPr>
                <w:p>
                  <w:pPr>
                    <w:widowControl/>
                    <w:spacing w:before="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季度统计</w:t>
                  </w:r>
                </w:p>
              </w:tc>
              <w:tc>
                <w:tcPr>
                  <w:tcW w:w="395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widowControl/>
                    <w:spacing w:before="4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杜绝</w:t>
                  </w:r>
                  <w:r>
                    <w:rPr>
                      <w:rFonts w:hint="eastAsia" w:ascii="宋体" w:hAnsi="宋体" w:eastAsia="宋体" w:cs="宋体"/>
                      <w:bCs/>
                      <w:color w:val="auto"/>
                      <w:sz w:val="21"/>
                      <w:szCs w:val="21"/>
                      <w:highlight w:val="none"/>
                      <w:lang w:val="en-US" w:eastAsia="zh-CN"/>
                    </w:rPr>
                    <w:t>火灾触电</w:t>
                  </w:r>
                  <w:r>
                    <w:rPr>
                      <w:rFonts w:hint="eastAsia" w:ascii="宋体" w:hAnsi="宋体" w:eastAsia="宋体" w:cs="宋体"/>
                      <w:bCs/>
                      <w:color w:val="auto"/>
                      <w:sz w:val="21"/>
                      <w:szCs w:val="21"/>
                      <w:highlight w:val="none"/>
                    </w:rPr>
                    <w:t>事故</w:t>
                  </w:r>
                </w:p>
              </w:tc>
              <w:tc>
                <w:tcPr>
                  <w:tcW w:w="1370" w:type="dxa"/>
                </w:tcPr>
                <w:p>
                  <w:pPr>
                    <w:widowControl/>
                    <w:spacing w:before="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每季度一次</w:t>
                  </w:r>
                </w:p>
              </w:tc>
              <w:tc>
                <w:tcPr>
                  <w:tcW w:w="1300" w:type="dxa"/>
                </w:tcPr>
                <w:p>
                  <w:pPr>
                    <w:widowControl/>
                    <w:spacing w:before="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季度统计</w:t>
                  </w:r>
                </w:p>
              </w:tc>
              <w:tc>
                <w:tcPr>
                  <w:tcW w:w="3959"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widowControl/>
                    <w:spacing w:before="40"/>
                    <w:jc w:val="left"/>
                    <w:rPr>
                      <w:color w:val="000000"/>
                      <w:szCs w:val="18"/>
                      <w:highlight w:val="cyan"/>
                    </w:rPr>
                  </w:pPr>
                </w:p>
              </w:tc>
              <w:tc>
                <w:tcPr>
                  <w:tcW w:w="1370" w:type="dxa"/>
                </w:tcPr>
                <w:p>
                  <w:pPr>
                    <w:widowControl/>
                    <w:spacing w:before="40"/>
                    <w:jc w:val="left"/>
                    <w:rPr>
                      <w:color w:val="000000"/>
                      <w:szCs w:val="18"/>
                      <w:highlight w:val="cyan"/>
                    </w:rPr>
                  </w:pPr>
                </w:p>
              </w:tc>
              <w:tc>
                <w:tcPr>
                  <w:tcW w:w="1300" w:type="dxa"/>
                </w:tcPr>
                <w:p>
                  <w:pPr>
                    <w:widowControl/>
                    <w:spacing w:before="40"/>
                    <w:jc w:val="left"/>
                    <w:rPr>
                      <w:color w:val="000000"/>
                      <w:szCs w:val="18"/>
                      <w:highlight w:val="cyan"/>
                    </w:rPr>
                  </w:pPr>
                </w:p>
              </w:tc>
              <w:tc>
                <w:tcPr>
                  <w:tcW w:w="3959"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Pr>
                <w:p>
                  <w:pPr>
                    <w:widowControl/>
                    <w:spacing w:before="40"/>
                    <w:jc w:val="left"/>
                    <w:rPr>
                      <w:color w:val="000000"/>
                      <w:szCs w:val="18"/>
                      <w:highlight w:val="cyan"/>
                    </w:rPr>
                  </w:pPr>
                </w:p>
              </w:tc>
              <w:tc>
                <w:tcPr>
                  <w:tcW w:w="1370" w:type="dxa"/>
                </w:tcPr>
                <w:p>
                  <w:pPr>
                    <w:widowControl/>
                    <w:spacing w:before="40"/>
                    <w:jc w:val="left"/>
                    <w:rPr>
                      <w:color w:val="000000"/>
                      <w:szCs w:val="18"/>
                      <w:highlight w:val="cyan"/>
                    </w:rPr>
                  </w:pPr>
                </w:p>
              </w:tc>
              <w:tc>
                <w:tcPr>
                  <w:tcW w:w="1300" w:type="dxa"/>
                </w:tcPr>
                <w:p>
                  <w:pPr>
                    <w:widowControl/>
                    <w:spacing w:before="40"/>
                    <w:jc w:val="left"/>
                    <w:rPr>
                      <w:color w:val="000000"/>
                      <w:szCs w:val="18"/>
                      <w:highlight w:val="cyan"/>
                    </w:rPr>
                  </w:pPr>
                </w:p>
              </w:tc>
              <w:tc>
                <w:tcPr>
                  <w:tcW w:w="3959"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若干</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若干</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2023</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2023</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18</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sym w:font="Wingdings" w:char="00FE"/>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触电2022.10.19；火灾2022.11.25</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lang w:val="en-US" w:eastAsia="zh-CN"/>
              </w:rPr>
              <w:t>触电2022.10.19；火灾2022.11.25</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lang w:eastAsia="zh-CN"/>
              </w:rPr>
              <w:t>☑</w:t>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A8"/>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1B477D8E"/>
    <w:rsid w:val="22463A3F"/>
    <w:rsid w:val="22CC448D"/>
    <w:rsid w:val="339045A9"/>
    <w:rsid w:val="3D783A73"/>
    <w:rsid w:val="422532B3"/>
    <w:rsid w:val="46317B0E"/>
    <w:rsid w:val="5DA73A93"/>
    <w:rsid w:val="66C553BB"/>
    <w:rsid w:val="6E836F58"/>
    <w:rsid w:val="6FC01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5515</Words>
  <Characters>5749</Characters>
  <Lines>92</Lines>
  <Paragraphs>26</Paragraphs>
  <TotalTime>0</TotalTime>
  <ScaleCrop>false</ScaleCrop>
  <LinksUpToDate>false</LinksUpToDate>
  <CharactersWithSpaces>6945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2023-03-03T03:19:03Z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2052-11.1.0.13703</vt:lpwstr>
  </property>
</Properties>
</file>