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hint="eastAsia" w:ascii="楷体" w:hAnsi="楷体" w:eastAsia="楷体"/>
          <w:b/>
          <w:color w:val="000000"/>
          <w:sz w:val="32"/>
          <w:szCs w:val="32"/>
        </w:rPr>
        <w:t>天津联恒管道制造有限公司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ascii="楷体" w:hAnsi="楷体" w:eastAsia="楷体"/>
          <w:b/>
          <w:color w:val="000000"/>
          <w:sz w:val="32"/>
          <w:szCs w:val="32"/>
        </w:rPr>
      </w:pPr>
    </w:p>
    <w:p>
      <w:pPr>
        <w:snapToGrid w:val="0"/>
        <w:spacing w:line="480" w:lineRule="auto"/>
        <w:ind w:left="850"/>
        <w:rPr>
          <w:rFonts w:ascii="楷体" w:hAnsi="楷体" w:eastAsia="楷体"/>
          <w:b/>
          <w:color w:val="000000"/>
          <w:sz w:val="32"/>
          <w:szCs w:val="32"/>
        </w:rPr>
      </w:pPr>
    </w:p>
    <w:p>
      <w:pPr>
        <w:snapToGrid w:val="0"/>
        <w:spacing w:line="480" w:lineRule="auto"/>
        <w:ind w:left="850"/>
        <w:rPr>
          <w:rFonts w:ascii="楷体" w:hAnsi="楷体" w:eastAsia="楷体"/>
          <w:b/>
          <w:color w:val="000000"/>
          <w:sz w:val="32"/>
          <w:szCs w:val="32"/>
        </w:rPr>
      </w:pP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李京田</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2017-N1EMS-2014142</w:t>
            </w:r>
          </w:p>
          <w:p>
            <w:pPr>
              <w:jc w:val="center"/>
              <w:rPr>
                <w:b/>
                <w:sz w:val="21"/>
                <w:szCs w:val="21"/>
              </w:rPr>
            </w:pPr>
            <w:r>
              <w:rPr>
                <w:b/>
                <w:sz w:val="21"/>
                <w:szCs w:val="21"/>
              </w:rPr>
              <w:t>2017-N1OHSMS-2014142</w:t>
            </w:r>
          </w:p>
        </w:tc>
        <w:tc>
          <w:tcPr>
            <w:tcW w:w="1728" w:type="dxa"/>
            <w:gridSpan w:val="2"/>
            <w:vAlign w:val="center"/>
          </w:tcPr>
          <w:p>
            <w:pPr>
              <w:jc w:val="center"/>
              <w:rPr>
                <w:b/>
                <w:sz w:val="21"/>
                <w:szCs w:val="21"/>
              </w:rPr>
            </w:pPr>
            <w:r>
              <w:rPr>
                <w:b/>
                <w:sz w:val="21"/>
                <w:szCs w:val="21"/>
              </w:rPr>
              <w:t>E:14.02.01</w:t>
            </w:r>
          </w:p>
          <w:p>
            <w:pPr>
              <w:jc w:val="center"/>
              <w:rPr>
                <w:b/>
                <w:sz w:val="21"/>
                <w:szCs w:val="21"/>
              </w:rPr>
            </w:pPr>
            <w:r>
              <w:rPr>
                <w:b/>
                <w:sz w:val="21"/>
                <w:szCs w:val="21"/>
              </w:rPr>
              <w:t>O:14.02.01</w:t>
            </w:r>
          </w:p>
        </w:tc>
        <w:tc>
          <w:tcPr>
            <w:tcW w:w="1729" w:type="dxa"/>
            <w:gridSpan w:val="2"/>
            <w:vAlign w:val="center"/>
          </w:tcPr>
          <w:p>
            <w:pPr>
              <w:jc w:val="center"/>
              <w:rPr>
                <w:b/>
                <w:sz w:val="21"/>
                <w:szCs w:val="21"/>
              </w:rPr>
            </w:pPr>
            <w:r>
              <w:rPr>
                <w:b/>
                <w:sz w:val="21"/>
                <w:szCs w:val="21"/>
              </w:rPr>
              <w:t>ISC-14142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idt ISO 9001:2015标准不适用条款: </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idt OHSMS 18001:2007标准</w:t>
      </w:r>
    </w:p>
    <w:p>
      <w:pPr>
        <w:tabs>
          <w:tab w:val="left" w:pos="645"/>
        </w:tabs>
        <w:rPr>
          <w:b/>
          <w:sz w:val="21"/>
          <w:szCs w:val="21"/>
        </w:rPr>
      </w:pPr>
      <w:r>
        <w:rPr>
          <w:rFonts w:hint="eastAsia"/>
          <w:b/>
          <w:sz w:val="21"/>
          <w:szCs w:val="21"/>
        </w:rPr>
        <w:sym w:font="Wingdings" w:char="00A8"/>
      </w:r>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69"/>
        <w:gridCol w:w="1621"/>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67" w:type="dxa"/>
            <w:gridSpan w:val="3"/>
          </w:tcPr>
          <w:p>
            <w:pPr>
              <w:spacing w:line="260" w:lineRule="exact"/>
              <w:rPr>
                <w:rFonts w:ascii="宋体"/>
                <w:b/>
                <w:color w:val="FF0000"/>
                <w:sz w:val="21"/>
              </w:rPr>
            </w:pPr>
            <w:bookmarkStart w:id="10" w:name="组织名称Add"/>
            <w:r>
              <w:rPr>
                <w:rFonts w:ascii="宋体"/>
                <w:b/>
                <w:color w:val="FF0000"/>
                <w:sz w:val="21"/>
              </w:rPr>
              <w:t>天津联恒管道制造有限公司</w:t>
            </w:r>
            <w:bookmarkEnd w:id="10"/>
          </w:p>
        </w:tc>
        <w:tc>
          <w:tcPr>
            <w:tcW w:w="1621"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ascii="宋体"/>
                <w:b/>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67" w:type="dxa"/>
            <w:gridSpan w:val="3"/>
          </w:tcPr>
          <w:p>
            <w:pPr>
              <w:rPr>
                <w:rFonts w:ascii="宋体"/>
                <w:b/>
                <w:sz w:val="21"/>
              </w:rPr>
            </w:pPr>
            <w:bookmarkStart w:id="11" w:name="注册地址"/>
            <w:r>
              <w:rPr>
                <w:rFonts w:ascii="宋体"/>
                <w:b/>
                <w:sz w:val="21"/>
              </w:rPr>
              <w:t>天津市静海区大邱庄镇东尚码头村东500米陈大公路北侧</w:t>
            </w:r>
            <w:bookmarkEnd w:id="11"/>
          </w:p>
        </w:tc>
        <w:tc>
          <w:tcPr>
            <w:tcW w:w="1621"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2" w:name="注册邮编"/>
            <w:r>
              <w:rPr>
                <w:rFonts w:ascii="宋体"/>
                <w:b/>
                <w:sz w:val="21"/>
              </w:rPr>
              <w:t>301606</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67" w:type="dxa"/>
            <w:gridSpan w:val="3"/>
          </w:tcPr>
          <w:p>
            <w:pPr>
              <w:rPr>
                <w:rFonts w:ascii="宋体"/>
                <w:b/>
                <w:sz w:val="21"/>
              </w:rPr>
            </w:pPr>
            <w:bookmarkStart w:id="13" w:name="办公地址"/>
            <w:r>
              <w:rPr>
                <w:rFonts w:ascii="宋体"/>
                <w:b/>
                <w:sz w:val="21"/>
              </w:rPr>
              <w:t>天津市静海区大邱庄镇东尚码头村东500米陈大公路北侧</w:t>
            </w:r>
            <w:bookmarkEnd w:id="13"/>
          </w:p>
        </w:tc>
        <w:tc>
          <w:tcPr>
            <w:tcW w:w="1621" w:type="dxa"/>
            <w:vMerge w:val="continue"/>
            <w:vAlign w:val="center"/>
          </w:tcPr>
          <w:p>
            <w:pPr>
              <w:jc w:val="center"/>
              <w:rPr>
                <w:rFonts w:ascii="宋体"/>
                <w:b/>
                <w:sz w:val="21"/>
              </w:rPr>
            </w:pPr>
          </w:p>
        </w:tc>
        <w:tc>
          <w:tcPr>
            <w:tcW w:w="1500" w:type="dxa"/>
          </w:tcPr>
          <w:p>
            <w:pPr>
              <w:rPr>
                <w:rFonts w:ascii="宋体"/>
                <w:b/>
                <w:sz w:val="21"/>
              </w:rPr>
            </w:pPr>
            <w:bookmarkStart w:id="14" w:name="办公邮编"/>
            <w:r>
              <w:rPr>
                <w:rFonts w:ascii="宋体"/>
                <w:b/>
                <w:sz w:val="21"/>
              </w:rPr>
              <w:t>301606</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67" w:type="dxa"/>
            <w:gridSpan w:val="3"/>
          </w:tcPr>
          <w:p>
            <w:pPr>
              <w:rPr>
                <w:rFonts w:ascii="宋体"/>
                <w:b/>
                <w:sz w:val="21"/>
              </w:rPr>
            </w:pPr>
            <w:bookmarkStart w:id="15" w:name="生产地址Add"/>
            <w:r>
              <w:rPr>
                <w:rFonts w:ascii="宋体"/>
                <w:b/>
                <w:sz w:val="21"/>
              </w:rPr>
              <w:t>天津市静海区大邱庄镇东尚码头村东500米陈大公路北侧</w:t>
            </w:r>
            <w:bookmarkEnd w:id="15"/>
          </w:p>
        </w:tc>
        <w:tc>
          <w:tcPr>
            <w:tcW w:w="1621" w:type="dxa"/>
            <w:vMerge w:val="continue"/>
            <w:vAlign w:val="center"/>
          </w:tcPr>
          <w:p>
            <w:pPr>
              <w:jc w:val="center"/>
              <w:rPr>
                <w:rFonts w:ascii="宋体"/>
                <w:b/>
                <w:sz w:val="21"/>
              </w:rPr>
            </w:pPr>
          </w:p>
        </w:tc>
        <w:tc>
          <w:tcPr>
            <w:tcW w:w="1500" w:type="dxa"/>
          </w:tcPr>
          <w:p>
            <w:pPr>
              <w:rPr>
                <w:rFonts w:ascii="宋体"/>
                <w:b/>
                <w:sz w:val="21"/>
              </w:rPr>
            </w:pPr>
            <w:bookmarkStart w:id="16" w:name="生产邮编"/>
            <w:r>
              <w:rPr>
                <w:rFonts w:ascii="宋体"/>
                <w:b/>
                <w:sz w:val="21"/>
              </w:rPr>
              <w:t>301606</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7" w:name="联系人"/>
            <w:r>
              <w:rPr>
                <w:rFonts w:ascii="宋体"/>
                <w:b/>
                <w:sz w:val="21"/>
              </w:rPr>
              <w:t>边文珍</w:t>
            </w:r>
            <w:bookmarkEnd w:id="17"/>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69" w:type="dxa"/>
            <w:vAlign w:val="center"/>
          </w:tcPr>
          <w:p>
            <w:pPr>
              <w:jc w:val="center"/>
              <w:rPr>
                <w:rFonts w:ascii="宋体"/>
                <w:b/>
                <w:sz w:val="21"/>
              </w:rPr>
            </w:pPr>
            <w:bookmarkStart w:id="18" w:name="联系人电话Add"/>
            <w:r>
              <w:rPr>
                <w:rFonts w:ascii="宋体"/>
                <w:b/>
                <w:sz w:val="21"/>
              </w:rPr>
              <w:t>022-28893865</w:t>
            </w:r>
            <w:bookmarkEnd w:id="18"/>
          </w:p>
        </w:tc>
        <w:tc>
          <w:tcPr>
            <w:tcW w:w="1621"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9" w:name="联系人传真"/>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0" w:name="法人"/>
            <w:r>
              <w:rPr>
                <w:rFonts w:ascii="宋体" w:hAnsi="宋体"/>
                <w:b/>
                <w:sz w:val="21"/>
                <w:szCs w:val="21"/>
              </w:rPr>
              <w:t>郭立</w:t>
            </w:r>
            <w:bookmarkEnd w:id="20"/>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69" w:type="dxa"/>
          </w:tcPr>
          <w:p>
            <w:pPr>
              <w:rPr>
                <w:rFonts w:ascii="宋体" w:hAnsi="宋体"/>
                <w:b/>
                <w:sz w:val="21"/>
                <w:szCs w:val="21"/>
              </w:rPr>
            </w:pPr>
          </w:p>
        </w:tc>
        <w:tc>
          <w:tcPr>
            <w:tcW w:w="1621"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1" w:name="管理者代表"/>
            <w:r>
              <w:rPr>
                <w:rFonts w:ascii="宋体"/>
                <w:b/>
                <w:sz w:val="21"/>
              </w:rPr>
              <w:t>郭立</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2" w:name="审核日期"/>
            <w:r>
              <w:rPr>
                <w:rFonts w:ascii="宋体" w:hAnsi="宋体"/>
                <w:b/>
                <w:sz w:val="21"/>
                <w:szCs w:val="21"/>
              </w:rPr>
              <w:t>2020年03月24日 上午至2020年03月25日 上午</w:t>
            </w:r>
            <w:bookmarkEnd w:id="22"/>
          </w:p>
        </w:tc>
        <w:tc>
          <w:tcPr>
            <w:tcW w:w="1669" w:type="dxa"/>
            <w:vAlign w:val="center"/>
          </w:tcPr>
          <w:p>
            <w:pPr>
              <w:rPr>
                <w:rFonts w:ascii="宋体" w:hAnsi="宋体"/>
                <w:b/>
                <w:sz w:val="21"/>
                <w:szCs w:val="21"/>
              </w:rPr>
            </w:pPr>
            <w:r>
              <w:rPr>
                <w:rFonts w:hint="eastAsia" w:ascii="宋体" w:hAnsi="宋体"/>
                <w:b/>
                <w:sz w:val="21"/>
                <w:szCs w:val="21"/>
              </w:rPr>
              <w:t>一体化审核</w:t>
            </w:r>
          </w:p>
        </w:tc>
        <w:tc>
          <w:tcPr>
            <w:tcW w:w="3121" w:type="dxa"/>
            <w:gridSpan w:val="2"/>
            <w:vAlign w:val="center"/>
          </w:tcPr>
          <w:p>
            <w:pPr>
              <w:rPr>
                <w:rFonts w:ascii="宋体" w:hAnsi="宋体"/>
                <w:b/>
                <w:sz w:val="21"/>
                <w:szCs w:val="21"/>
              </w:rPr>
            </w:pP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5"/>
          </w:tcPr>
          <w:p>
            <w:pPr>
              <w:spacing w:line="360" w:lineRule="exact"/>
              <w:rPr>
                <w:rFonts w:ascii="宋体" w:hAnsi="宋体"/>
                <w:b/>
                <w:sz w:val="21"/>
                <w:szCs w:val="21"/>
              </w:rPr>
            </w:pPr>
            <w:bookmarkStart w:id="23" w:name="Q勾选15Add1"/>
            <w:r>
              <w:rPr>
                <w:rFonts w:hint="eastAsia" w:ascii="宋体" w:hAnsi="宋体"/>
                <w:b/>
                <w:sz w:val="21"/>
                <w:szCs w:val="21"/>
              </w:rPr>
              <w:t>□</w:t>
            </w:r>
            <w:bookmarkEnd w:id="23"/>
            <w:r>
              <w:rPr>
                <w:rFonts w:ascii="宋体" w:hAnsi="宋体"/>
                <w:b/>
                <w:sz w:val="21"/>
                <w:szCs w:val="21"/>
              </w:rPr>
              <w:t>QMS</w:t>
            </w:r>
            <w:r>
              <w:rPr>
                <w:rFonts w:hint="eastAsia" w:ascii="宋体" w:hAnsi="宋体"/>
                <w:b/>
                <w:sz w:val="21"/>
                <w:szCs w:val="21"/>
              </w:rPr>
              <w:t>：</w:t>
            </w:r>
            <w:bookmarkStart w:id="24" w:name="QJ勾选Add1"/>
            <w:r>
              <w:rPr>
                <w:rFonts w:hint="eastAsia" w:ascii="宋体" w:hAnsi="宋体"/>
                <w:b/>
                <w:sz w:val="21"/>
                <w:szCs w:val="21"/>
              </w:rPr>
              <w:t>□</w:t>
            </w:r>
            <w:bookmarkEnd w:id="24"/>
            <w:r>
              <w:rPr>
                <w:rFonts w:hint="eastAsia" w:ascii="宋体" w:hAnsi="宋体"/>
                <w:b/>
                <w:sz w:val="21"/>
                <w:szCs w:val="21"/>
              </w:rPr>
              <w:t>5</w:t>
            </w:r>
            <w:r>
              <w:rPr>
                <w:rFonts w:ascii="宋体" w:hAnsi="宋体"/>
                <w:b/>
                <w:sz w:val="21"/>
                <w:szCs w:val="21"/>
              </w:rPr>
              <w:t>0430</w:t>
            </w:r>
          </w:p>
          <w:p>
            <w:pPr>
              <w:spacing w:line="360" w:lineRule="exact"/>
              <w:rPr>
                <w:rFonts w:ascii="宋体" w:hAnsi="宋体"/>
                <w:b/>
                <w:sz w:val="21"/>
                <w:szCs w:val="21"/>
              </w:rPr>
            </w:pPr>
            <w:bookmarkStart w:id="25" w:name="E勾选Add1"/>
            <w:r>
              <w:rPr>
                <w:rFonts w:hint="eastAsia" w:ascii="宋体" w:hAnsi="宋体"/>
                <w:b/>
                <w:sz w:val="21"/>
                <w:szCs w:val="21"/>
              </w:rPr>
              <w:t>■</w:t>
            </w:r>
            <w:bookmarkEnd w:id="25"/>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6" w:name="S勾选Add2"/>
            <w:r>
              <w:rPr>
                <w:rFonts w:hint="eastAsia" w:ascii="宋体" w:hAnsi="宋体"/>
                <w:b/>
                <w:sz w:val="21"/>
                <w:szCs w:val="21"/>
              </w:rPr>
              <w:t>■</w:t>
            </w:r>
            <w:bookmarkEnd w:id="26"/>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t>□否</w:t>
            </w:r>
          </w:p>
        </w:tc>
        <w:tc>
          <w:tcPr>
            <w:tcW w:w="7588" w:type="dxa"/>
            <w:gridSpan w:val="5"/>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7" w:name="专业代码"/>
            <w:r>
              <w:rPr>
                <w:rFonts w:ascii="宋体" w:hAnsi="宋体"/>
                <w:b/>
                <w:sz w:val="21"/>
                <w:szCs w:val="21"/>
              </w:rPr>
              <w:t>E：14.02.01</w:t>
            </w:r>
          </w:p>
          <w:p>
            <w:pPr>
              <w:spacing w:line="260" w:lineRule="exact"/>
              <w:rPr>
                <w:rFonts w:ascii="宋体" w:hAnsi="宋体"/>
                <w:b/>
                <w:sz w:val="21"/>
                <w:szCs w:val="21"/>
              </w:rPr>
            </w:pPr>
            <w:r>
              <w:rPr>
                <w:rFonts w:ascii="宋体" w:hAnsi="宋体"/>
                <w:b/>
                <w:sz w:val="21"/>
                <w:szCs w:val="21"/>
              </w:rPr>
              <w:t>O：14.02.01</w:t>
            </w:r>
            <w:bookmarkEnd w:id="27"/>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69" w:type="dxa"/>
          </w:tcPr>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2022.1.8</w:t>
            </w:r>
          </w:p>
        </w:tc>
        <w:tc>
          <w:tcPr>
            <w:tcW w:w="1621"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default" w:ascii="宋体" w:eastAsia="宋体"/>
                <w:b/>
                <w:sz w:val="21"/>
                <w:lang w:val="en-US" w:eastAsia="zh-CN"/>
              </w:rPr>
            </w:pPr>
            <w:r>
              <w:rPr>
                <w:rFonts w:hint="eastAsia" w:ascii="宋体" w:hAnsi="宋体"/>
                <w:b/>
                <w:sz w:val="21"/>
                <w:szCs w:val="21"/>
                <w:lang w:val="en-US" w:eastAsia="zh-CN"/>
              </w:rPr>
              <w:t>2018-12-24 --2018-12-27</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hint="default" w:ascii="宋体" w:hAnsi="宋体" w:eastAsia="宋体"/>
          <w:b/>
          <w:sz w:val="21"/>
          <w:szCs w:val="21"/>
          <w:lang w:val="en-US" w:eastAsia="zh-CN"/>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r>
        <w:rPr>
          <w:rFonts w:hint="eastAsia" w:ascii="宋体" w:hAnsi="宋体"/>
          <w:b/>
          <w:sz w:val="21"/>
          <w:szCs w:val="21"/>
          <w:lang w:eastAsia="zh-CN"/>
        </w:rPr>
        <w:t>：</w:t>
      </w:r>
      <w:r>
        <w:rPr>
          <w:rFonts w:hint="eastAsia" w:ascii="宋体" w:hAnsi="宋体"/>
          <w:b/>
          <w:sz w:val="21"/>
          <w:szCs w:val="21"/>
          <w:lang w:val="en-US" w:eastAsia="zh-CN"/>
        </w:rPr>
        <w:t>无</w:t>
      </w:r>
    </w:p>
    <w:p>
      <w:pPr>
        <w:spacing w:before="163" w:beforeLines="50"/>
        <w:ind w:left="-194" w:leftChars="-81" w:firstLine="211" w:firstLineChars="100"/>
        <w:rPr>
          <w:rFonts w:hint="eastAsia" w:ascii="宋体" w:hAnsi="宋体"/>
          <w:b/>
          <w:sz w:val="21"/>
          <w:szCs w:val="21"/>
          <w:lang w:eastAsia="zh-CN"/>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r>
        <w:rPr>
          <w:rFonts w:hint="eastAsia" w:ascii="宋体" w:hAnsi="宋体"/>
          <w:b/>
          <w:sz w:val="21"/>
          <w:szCs w:val="21"/>
          <w:lang w:eastAsia="zh-CN"/>
        </w:rPr>
        <w:t>：</w:t>
      </w:r>
    </w:p>
    <w:p>
      <w:pPr>
        <w:spacing w:line="0" w:lineRule="atLeast"/>
        <w:jc w:val="left"/>
        <w:rPr>
          <w:rFonts w:hint="eastAsia" w:ascii="宋体" w:hAnsi="宋体"/>
        </w:rPr>
      </w:pPr>
      <w:bookmarkStart w:id="28" w:name="审核范围"/>
      <w:r>
        <w:rPr>
          <w:rFonts w:hint="eastAsia" w:ascii="宋体" w:hAnsi="宋体"/>
        </w:rPr>
        <w:t>E：给水涂塑复合管、消防涂塑复合管的制造及所涉及场所的相关环境管理活动；</w:t>
      </w:r>
    </w:p>
    <w:p>
      <w:pPr>
        <w:spacing w:line="360" w:lineRule="atLeast"/>
        <w:ind w:firstLine="240" w:firstLineChars="100"/>
        <w:rPr>
          <w:rFonts w:hint="eastAsia" w:ascii="宋体" w:hAnsi="宋体"/>
        </w:rPr>
      </w:pPr>
      <w:r>
        <w:rPr>
          <w:rFonts w:hint="eastAsia" w:ascii="宋体" w:hAnsi="宋体"/>
        </w:rPr>
        <w:t>O：给水涂塑复合管、消防涂塑复合管的制造及所涉及场所的相关环境管理活动；</w:t>
      </w:r>
      <w:bookmarkEnd w:id="28"/>
    </w:p>
    <w:p>
      <w:pPr>
        <w:spacing w:line="360" w:lineRule="atLeast"/>
        <w:ind w:firstLine="240" w:firstLineChars="100"/>
        <w:rPr>
          <w:rFonts w:hint="eastAsia" w:ascii="宋体" w:hAnsi="宋体"/>
        </w:rPr>
      </w:pP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 xml:space="preserve">   2018</w:t>
      </w:r>
      <w:r>
        <w:rPr>
          <w:rFonts w:hint="eastAsia" w:ascii="宋体" w:hAnsi="宋体"/>
          <w:b/>
          <w:sz w:val="21"/>
          <w:szCs w:val="21"/>
        </w:rPr>
        <w:t>年</w:t>
      </w:r>
      <w:r>
        <w:rPr>
          <w:rFonts w:hint="eastAsia" w:ascii="宋体" w:hAnsi="宋体"/>
          <w:b/>
          <w:sz w:val="21"/>
          <w:szCs w:val="21"/>
          <w:lang w:val="en-US" w:eastAsia="zh-CN"/>
        </w:rPr>
        <w:t>12</w:t>
      </w:r>
      <w:r>
        <w:rPr>
          <w:rFonts w:hint="eastAsia" w:ascii="宋体" w:hAnsi="宋体"/>
          <w:b/>
          <w:sz w:val="21"/>
          <w:szCs w:val="21"/>
        </w:rPr>
        <w:t>月</w:t>
      </w:r>
      <w:r>
        <w:rPr>
          <w:rFonts w:hint="eastAsia" w:ascii="宋体" w:hAnsi="宋体"/>
          <w:b/>
          <w:sz w:val="21"/>
          <w:szCs w:val="21"/>
          <w:lang w:val="en-US" w:eastAsia="zh-CN"/>
        </w:rPr>
        <w:t>28</w:t>
      </w:r>
      <w:r>
        <w:rPr>
          <w:rFonts w:hint="eastAsia" w:ascii="宋体" w:hAnsi="宋体"/>
          <w:b/>
          <w:sz w:val="21"/>
          <w:szCs w:val="21"/>
        </w:rPr>
        <w:t>日至</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3</w:t>
      </w:r>
      <w:r>
        <w:rPr>
          <w:rFonts w:hint="eastAsia" w:ascii="宋体" w:hAnsi="宋体"/>
          <w:b/>
          <w:sz w:val="21"/>
          <w:szCs w:val="21"/>
        </w:rPr>
        <w:t>月</w:t>
      </w:r>
      <w:r>
        <w:rPr>
          <w:rFonts w:hint="eastAsia" w:ascii="宋体" w:hAnsi="宋体"/>
          <w:b/>
          <w:sz w:val="21"/>
          <w:szCs w:val="21"/>
          <w:lang w:val="en-US" w:eastAsia="zh-CN"/>
        </w:rPr>
        <w:t>25</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240" w:lineRule="exact"/>
              <w:ind w:firstLine="210" w:firstLineChars="100"/>
              <w:rPr>
                <w:rFonts w:hint="eastAsia" w:ascii="宋体" w:hAnsi="宋体"/>
                <w:b/>
                <w:sz w:val="21"/>
                <w:szCs w:val="21"/>
              </w:rPr>
            </w:pPr>
            <w:r>
              <w:rPr>
                <w:rFonts w:hint="default" w:ascii="Times New Roman" w:hAnsi="Times New Roman" w:cs="Times New Roman"/>
                <w:sz w:val="21"/>
                <w:szCs w:val="21"/>
              </w:rPr>
              <w:t>受审核方</w:t>
            </w:r>
            <w:r>
              <w:rPr>
                <w:rFonts w:asciiTheme="minorEastAsia" w:hAnsiTheme="minorEastAsia" w:eastAsiaTheme="minorEastAsia"/>
                <w:sz w:val="20"/>
              </w:rPr>
              <w:t>天津联恒管道制造有限公司</w:t>
            </w:r>
            <w:r>
              <w:rPr>
                <w:rFonts w:hint="default" w:ascii="Times New Roman" w:hAnsi="Times New Roman" w:cs="Times New Roman"/>
                <w:sz w:val="21"/>
                <w:szCs w:val="21"/>
              </w:rPr>
              <w:t>成立于20</w:t>
            </w:r>
            <w:r>
              <w:rPr>
                <w:rFonts w:hint="eastAsia" w:ascii="Times New Roman" w:hAnsi="Times New Roman" w:cs="Times New Roman"/>
                <w:sz w:val="21"/>
                <w:szCs w:val="21"/>
                <w:lang w:val="en-US" w:eastAsia="zh-CN"/>
              </w:rPr>
              <w:t>16</w:t>
            </w:r>
            <w:r>
              <w:rPr>
                <w:rFonts w:hint="default" w:ascii="Times New Roman" w:hAnsi="Times New Roman" w:cs="Times New Roman"/>
                <w:sz w:val="21"/>
                <w:szCs w:val="21"/>
              </w:rPr>
              <w:t>年</w:t>
            </w:r>
            <w:r>
              <w:rPr>
                <w:rFonts w:hint="eastAsia" w:ascii="Times New Roman" w:hAnsi="Times New Roman" w:cs="Times New Roman"/>
                <w:sz w:val="21"/>
                <w:szCs w:val="21"/>
                <w:lang w:val="en-US" w:eastAsia="zh-CN"/>
              </w:rPr>
              <w:t>3</w:t>
            </w:r>
            <w:r>
              <w:rPr>
                <w:rFonts w:hint="default" w:ascii="Times New Roman" w:hAnsi="Times New Roman" w:cs="Times New Roman"/>
                <w:sz w:val="21"/>
                <w:szCs w:val="21"/>
              </w:rPr>
              <w:t>月</w:t>
            </w:r>
            <w:r>
              <w:rPr>
                <w:rFonts w:hint="eastAsia" w:ascii="Times New Roman" w:hAnsi="Times New Roman" w:cs="Times New Roman"/>
                <w:sz w:val="21"/>
                <w:szCs w:val="21"/>
                <w:lang w:val="en-US" w:eastAsia="zh-CN"/>
              </w:rPr>
              <w:t>24</w:t>
            </w:r>
            <w:r>
              <w:rPr>
                <w:rFonts w:hint="default" w:ascii="Times New Roman" w:hAnsi="Times New Roman" w:cs="Times New Roman"/>
                <w:sz w:val="21"/>
                <w:szCs w:val="21"/>
              </w:rPr>
              <w:t>日，注册资</w:t>
            </w:r>
            <w:r>
              <w:rPr>
                <w:rFonts w:hint="default" w:ascii="Times New Roman" w:hAnsi="Times New Roman" w:cs="Times New Roman"/>
                <w:sz w:val="21"/>
                <w:szCs w:val="21"/>
                <w:lang w:val="en-US" w:eastAsia="zh-CN"/>
              </w:rPr>
              <w:t>本</w:t>
            </w:r>
            <w:r>
              <w:rPr>
                <w:rFonts w:hint="eastAsia" w:ascii="Times New Roman" w:hAnsi="Times New Roman" w:cs="Times New Roman"/>
                <w:sz w:val="21"/>
                <w:szCs w:val="21"/>
                <w:lang w:val="en-US" w:eastAsia="zh-CN"/>
              </w:rPr>
              <w:t>10000.000000万</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注册地及生产营业地为</w:t>
            </w:r>
            <w:r>
              <w:rPr>
                <w:rFonts w:hint="default" w:ascii="Times New Roman" w:hAnsi="Times New Roman" w:cs="Times New Roman"/>
                <w:sz w:val="21"/>
                <w:szCs w:val="21"/>
              </w:rPr>
              <w:t>天津市静海区大邱庄镇东尚码头村东500米陈大公路北侧</w:t>
            </w:r>
            <w:r>
              <w:rPr>
                <w:rFonts w:hint="eastAsia" w:ascii="Times New Roman" w:hAnsi="Times New Roman" w:cs="Times New Roman"/>
                <w:sz w:val="21"/>
                <w:szCs w:val="21"/>
                <w:lang w:eastAsia="zh-CN"/>
              </w:rPr>
              <w:t>，</w:t>
            </w:r>
            <w:r>
              <w:rPr>
                <w:rFonts w:hint="eastAsia" w:cs="Times New Roman"/>
                <w:sz w:val="21"/>
                <w:szCs w:val="21"/>
                <w:lang w:val="en-US" w:eastAsia="zh-CN"/>
              </w:rPr>
              <w:t>租赁厂房，大约 车间3800  库房500</w:t>
            </w:r>
            <w:r>
              <w:rPr>
                <w:rFonts w:hint="default" w:ascii="Times New Roman" w:hAnsi="Times New Roman" w:cs="Times New Roman"/>
                <w:sz w:val="21"/>
                <w:szCs w:val="21"/>
              </w:rPr>
              <w:t>平米</w:t>
            </w:r>
            <w:r>
              <w:rPr>
                <w:rFonts w:hint="eastAsia" w:cs="Times New Roman"/>
                <w:sz w:val="21"/>
                <w:szCs w:val="21"/>
                <w:lang w:val="en-US" w:eastAsia="zh-CN"/>
              </w:rPr>
              <w:t xml:space="preserve"> </w:t>
            </w:r>
            <w:r>
              <w:rPr>
                <w:rFonts w:hint="default" w:ascii="Times New Roman" w:hAnsi="Times New Roman" w:cs="Times New Roman"/>
                <w:sz w:val="21"/>
                <w:szCs w:val="21"/>
              </w:rPr>
              <w:t>，主要从事</w:t>
            </w:r>
            <w:r>
              <w:rPr>
                <w:sz w:val="20"/>
              </w:rPr>
              <w:t>给水涂塑复合管、消防涂塑复合管的制造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40" w:lineRule="exact"/>
              <w:rPr>
                <w:rFonts w:hint="eastAsia" w:ascii="宋体" w:hAnsi="宋体"/>
                <w:b/>
                <w:sz w:val="21"/>
                <w:szCs w:val="21"/>
              </w:rPr>
            </w:pPr>
            <w:r>
              <w:rPr>
                <w:rFonts w:hint="eastAsia" w:ascii="宋体" w:hAnsi="宋体"/>
                <w:b/>
                <w:sz w:val="21"/>
                <w:szCs w:val="21"/>
              </w:rPr>
              <w:t>相关方需求和期望识别情况</w:t>
            </w:r>
          </w:p>
          <w:p>
            <w:pPr>
              <w:rPr>
                <w:rFonts w:hint="eastAsia" w:ascii="Times New Roman" w:hAnsi="Times New Roman" w:cs="Times New Roman"/>
              </w:rPr>
            </w:pPr>
            <w:r>
              <w:rPr>
                <w:rFonts w:hint="eastAsia" w:ascii="Times New Roman" w:hAnsi="Times New Roman" w:cs="Times New Roman"/>
              </w:rPr>
              <w:t>在公司运营过程中充分考虑相关方方面的期望或要求，识别的相关方有：顾客、最终用户或受益人、业主，股东、员工等。销售部门和相关职能部门通过日常例会、市场活动、现场拜访、产品展销会、客户调查等多种渠道和方式方法随时了解相关方的需求和期望。做为公司经营风险分析和发展机遇的可利用资源。</w:t>
            </w:r>
          </w:p>
          <w:p>
            <w:pPr>
              <w:numPr>
                <w:ilvl w:val="0"/>
                <w:numId w:val="0"/>
              </w:numPr>
              <w:spacing w:line="240" w:lineRule="exact"/>
              <w:rPr>
                <w:rFonts w:hint="eastAsia" w:ascii="宋体" w:hAnsi="宋体"/>
                <w:b/>
                <w:sz w:val="21"/>
                <w:szCs w:val="21"/>
              </w:rPr>
            </w:pPr>
            <w:r>
              <w:rPr>
                <w:rFonts w:hint="eastAsia" w:ascii="Times New Roman" w:hAnsi="Times New Roman" w:cs="Times New Roman"/>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80" w:lineRule="exact"/>
              <w:rPr>
                <w:rFonts w:hint="eastAsia"/>
              </w:rPr>
            </w:pPr>
            <w:r>
              <w:rPr>
                <w:rFonts w:hint="eastAsia"/>
              </w:rPr>
              <w:t>□质量</w:t>
            </w:r>
            <w:r>
              <w:t>/</w:t>
            </w:r>
            <w:r>
              <w:rPr>
                <w:rFonts w:hint="eastAsia"/>
                <w:lang w:eastAsia="zh-CN"/>
              </w:rPr>
              <w:t>☑</w:t>
            </w:r>
            <w:r>
              <w:rPr>
                <w:rFonts w:hint="eastAsia"/>
              </w:rPr>
              <w:t>环境</w:t>
            </w:r>
            <w:r>
              <w:t>/</w:t>
            </w:r>
            <w:r>
              <w:rPr>
                <w:rFonts w:hint="eastAsia"/>
                <w:lang w:eastAsia="zh-CN"/>
              </w:rPr>
              <w:t>☑</w:t>
            </w:r>
            <w:r>
              <w:rPr>
                <w:rFonts w:hint="eastAsia"/>
              </w:rPr>
              <w:t>职业健康安全方针（组织方针的适宜性</w:t>
            </w:r>
            <w:r>
              <w:t>/</w:t>
            </w:r>
            <w:r>
              <w:rPr>
                <w:rFonts w:hint="eastAsia"/>
              </w:rPr>
              <w:t>持续适宜性、方针的传达及职工的理解等）</w:t>
            </w:r>
          </w:p>
          <w:p>
            <w:pPr>
              <w:tabs>
                <w:tab w:val="left" w:pos="720"/>
              </w:tabs>
              <w:spacing w:line="480" w:lineRule="exact"/>
              <w:rPr>
                <w:rFonts w:hint="eastAsia" w:ascii="楷体" w:hAnsi="楷体" w:eastAsia="楷体"/>
                <w:color w:val="000000" w:themeColor="text1"/>
                <w:sz w:val="24"/>
                <w:szCs w:val="24"/>
              </w:rPr>
            </w:pPr>
            <w:r>
              <w:rPr>
                <w:rFonts w:hint="eastAsia" w:ascii="楷体" w:hAnsi="楷体" w:eastAsia="楷体"/>
                <w:color w:val="000000" w:themeColor="text1"/>
                <w:sz w:val="24"/>
                <w:szCs w:val="24"/>
              </w:rPr>
              <w:t>公司的职业健康安全方针：</w:t>
            </w:r>
          </w:p>
          <w:p>
            <w:pPr>
              <w:numPr>
                <w:ilvl w:val="0"/>
                <w:numId w:val="0"/>
              </w:numPr>
              <w:autoSpaceDE w:val="0"/>
              <w:autoSpaceDN w:val="0"/>
              <w:adjustRightInd w:val="0"/>
              <w:spacing w:line="360" w:lineRule="auto"/>
              <w:ind w:leftChars="324"/>
              <w:rPr>
                <w:rFonts w:hint="eastAsia" w:ascii="宋体" w:hAnsi="宋体" w:eastAsia="宋体" w:cs="宋体"/>
                <w:color w:val="000000"/>
              </w:rPr>
            </w:pPr>
            <w:r>
              <w:rPr>
                <w:rFonts w:hint="eastAsia" w:ascii="宋体" w:hAnsi="宋体" w:eastAsia="宋体" w:cs="宋体"/>
                <w:color w:val="000000"/>
              </w:rPr>
              <w:t>守法诚信追求质量，预防污染保护环境；</w:t>
            </w:r>
          </w:p>
          <w:p>
            <w:pPr>
              <w:autoSpaceDE w:val="0"/>
              <w:autoSpaceDN w:val="0"/>
              <w:adjustRightInd w:val="0"/>
              <w:spacing w:line="360" w:lineRule="auto"/>
              <w:ind w:left="660" w:leftChars="275" w:firstLine="117" w:firstLineChars="49"/>
              <w:rPr>
                <w:rFonts w:hint="eastAsia"/>
                <w:sz w:val="21"/>
                <w:szCs w:val="21"/>
              </w:rPr>
            </w:pPr>
            <w:r>
              <w:rPr>
                <w:rFonts w:hint="eastAsia" w:ascii="宋体" w:hAnsi="宋体" w:eastAsia="宋体" w:cs="宋体"/>
                <w:color w:val="000000"/>
              </w:rPr>
              <w:t xml:space="preserve"> 关爱员工健康安全，持续改进追求卓越。</w:t>
            </w:r>
          </w:p>
          <w:p>
            <w:pPr>
              <w:pStyle w:val="2"/>
              <w:numPr>
                <w:ilvl w:val="0"/>
                <w:numId w:val="0"/>
              </w:numPr>
            </w:pPr>
            <w:r>
              <w:rPr>
                <w:rFonts w:hint="eastAsia"/>
                <w:color w:val="000000"/>
              </w:rPr>
              <w:t>通过管理手册的分发使全体员工理解方针，通过内审和管理评审保持方针的适宜性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80" w:lineRule="exact"/>
              <w:ind w:left="0" w:leftChars="0" w:firstLine="0" w:firstLineChars="0"/>
              <w:rPr>
                <w:rFonts w:hint="eastAsia"/>
              </w:rPr>
            </w:pPr>
            <w:r>
              <w:rPr>
                <w:rFonts w:hint="eastAsia"/>
              </w:rPr>
              <w:t>风险识别与控制策划</w:t>
            </w:r>
          </w:p>
          <w:p>
            <w:r>
              <w:rPr>
                <w:rFonts w:hint="eastAsia"/>
              </w:rPr>
              <w:t>制定了《风险和机遇的应对控制程序》，明确风险和机遇事件的识别方法/途径、风险和机遇事件的评估方式、制定主要风险和机遇事件的应对措施的要求、评价这些措施有效性的方法。</w:t>
            </w:r>
          </w:p>
          <w:p>
            <w:pPr>
              <w:spacing w:line="240" w:lineRule="exact"/>
              <w:rPr>
                <w:rFonts w:hint="eastAsia"/>
              </w:rPr>
            </w:pPr>
            <w:r>
              <w:rPr>
                <w:rFonts w:hint="eastAsia"/>
              </w:rPr>
              <w:t>提供了“201</w:t>
            </w:r>
            <w:r>
              <w:rPr>
                <w:rFonts w:hint="eastAsia"/>
                <w:lang w:val="en-US" w:eastAsia="zh-CN"/>
              </w:rPr>
              <w:t>9</w:t>
            </w:r>
            <w:r>
              <w:rPr>
                <w:rFonts w:hint="eastAsia"/>
              </w:rPr>
              <w:t>年度 SWOT经营环境分析及对策报告”，对影响公司经营和发展的各种因素（内外部环境、相关方要求等）进行分析，确定需要应对的风险和机遇</w:t>
            </w:r>
          </w:p>
          <w:p>
            <w:pPr>
              <w:pStyle w:val="2"/>
              <w:numPr>
                <w:ilvl w:val="0"/>
                <w:numId w:val="0"/>
              </w:numPr>
              <w:ind w:left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质量管理体系过程有：</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其中关键过程有</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需要确认过程</w:t>
            </w:r>
          </w:p>
          <w:p>
            <w:pPr>
              <w:tabs>
                <w:tab w:val="left" w:pos="540"/>
              </w:tabs>
              <w:spacing w:line="300" w:lineRule="exact"/>
              <w:ind w:left="211" w:hanging="211" w:hangingChars="100"/>
              <w:rPr>
                <w:rFonts w:ascii="宋体" w:hAnsi="宋体"/>
                <w:b/>
                <w:sz w:val="21"/>
                <w:szCs w:val="21"/>
              </w:rPr>
            </w:pPr>
            <w:r>
              <w:rPr>
                <w:rFonts w:ascii="宋体" w:hAnsi="宋体"/>
                <w:b/>
                <w:sz w:val="21"/>
                <w:szCs w:val="21"/>
              </w:rPr>
              <w:pict>
                <v:shape id="_x0000_s1026" o:spid="_x0000_s1026" o:spt="32" type="#_x0000_t32" style="position:absolute;left:0pt;margin-left:157.9pt;margin-top:12.75pt;height:0pt;width:261.75pt;z-index:251660288;mso-width-relative:page;mso-height-relative:page;" o:connectortype="straight" filled="f" coordsize="21600,21600">
                  <v:path arrowok="t"/>
                  <v:fill on="f" focussize="0,0"/>
                  <v:stroke/>
                  <v:imagedata o:title=""/>
                  <o:lock v:ext="edit"/>
                </v:shape>
              </w:pict>
            </w:r>
            <w:r>
              <w:rPr>
                <w:rFonts w:ascii="宋体" w:hAnsi="宋体"/>
                <w:b/>
                <w:sz w:val="21"/>
                <w:szCs w:val="21"/>
              </w:rPr>
              <w:pict>
                <v:shape id="_x0000_s1027" o:spid="_x0000_s1027"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删减条款是，删减理由：</w:t>
            </w:r>
          </w:p>
          <w:p>
            <w:pPr>
              <w:tabs>
                <w:tab w:val="left" w:pos="540"/>
              </w:tabs>
              <w:spacing w:line="300" w:lineRule="exact"/>
              <w:ind w:left="211" w:hanging="211" w:hangingChars="100"/>
              <w:rPr>
                <w:rFonts w:ascii="宋体" w:hAnsi="宋体"/>
                <w:b/>
                <w:sz w:val="21"/>
                <w:szCs w:val="21"/>
              </w:rPr>
            </w:pPr>
          </w:p>
          <w:p>
            <w:pPr>
              <w:tabs>
                <w:tab w:val="left" w:pos="540"/>
              </w:tabs>
              <w:spacing w:line="300" w:lineRule="exact"/>
              <w:ind w:left="211" w:hanging="211" w:hangingChars="1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lang w:eastAsia="zh-CN"/>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394" w:lineRule="exact"/>
              <w:ind w:firstLine="420" w:firstLineChars="200"/>
              <w:rPr>
                <w:rFonts w:hint="eastAsia"/>
                <w:sz w:val="21"/>
                <w:szCs w:val="21"/>
              </w:rPr>
            </w:pPr>
            <w:r>
              <w:rPr>
                <w:rFonts w:hint="eastAsia"/>
                <w:sz w:val="21"/>
                <w:szCs w:val="21"/>
              </w:rPr>
              <w:t>编制了</w:t>
            </w:r>
            <w:r>
              <w:rPr>
                <w:sz w:val="21"/>
                <w:szCs w:val="21"/>
              </w:rPr>
              <w:t>《环境因素的识别与评价控制程序》</w:t>
            </w:r>
            <w:r>
              <w:rPr>
                <w:rFonts w:hint="eastAsia"/>
                <w:sz w:val="21"/>
                <w:szCs w:val="21"/>
              </w:rPr>
              <w:t>符合标准要求.</w:t>
            </w:r>
          </w:p>
          <w:p>
            <w:pPr>
              <w:rPr>
                <w:rFonts w:ascii="宋体" w:hAnsi="宋体" w:cs="宋体"/>
                <w:kern w:val="0"/>
                <w:szCs w:val="21"/>
              </w:rPr>
            </w:pPr>
            <w:r>
              <w:rPr>
                <w:rFonts w:hint="eastAsia"/>
                <w:sz w:val="21"/>
                <w:szCs w:val="21"/>
              </w:rPr>
              <w:t>提供的“环境因素识别评价表”“重要环境因素清单”， 评价考虑了三种时态现在、过去、将来、三种状态、异常、正常、紧急考虑了法律法规，并进行了评价，</w:t>
            </w:r>
            <w:r>
              <w:rPr>
                <w:rFonts w:hint="eastAsia" w:ascii="宋体" w:hAnsi="宋体"/>
              </w:rPr>
              <w:t>给水涂塑复合管、消防涂塑复合管的制造</w:t>
            </w:r>
            <w:r>
              <w:rPr>
                <w:rFonts w:hint="eastAsia" w:ascii="宋体" w:hAnsi="宋体" w:cs="宋体"/>
                <w:kern w:val="0"/>
                <w:szCs w:val="21"/>
              </w:rPr>
              <w:t>及相关环境管理活动</w:t>
            </w:r>
          </w:p>
          <w:p>
            <w:pPr>
              <w:ind w:firstLine="420" w:firstLineChars="200"/>
              <w:rPr>
                <w:sz w:val="21"/>
                <w:szCs w:val="21"/>
              </w:rPr>
            </w:pPr>
            <w:r>
              <w:rPr>
                <w:rFonts w:hint="eastAsia"/>
                <w:sz w:val="21"/>
                <w:szCs w:val="21"/>
                <w:lang w:eastAsia="zh-CN"/>
              </w:rPr>
              <w:t>根据企业的生产</w:t>
            </w:r>
            <w:r>
              <w:rPr>
                <w:rFonts w:hint="eastAsia"/>
                <w:sz w:val="21"/>
                <w:szCs w:val="21"/>
              </w:rPr>
              <w:t>服务过程，用打分法考虑了法规符合性、发生频次、影响范围等, 通过定性判断法，共识别出重大环境因素</w:t>
            </w:r>
            <w:r>
              <w:rPr>
                <w:rFonts w:hint="eastAsia"/>
                <w:sz w:val="21"/>
                <w:szCs w:val="21"/>
                <w:lang w:val="en-US" w:eastAsia="zh-CN"/>
              </w:rPr>
              <w:t>4</w:t>
            </w:r>
            <w:r>
              <w:rPr>
                <w:rFonts w:hint="eastAsia"/>
                <w:sz w:val="21"/>
                <w:szCs w:val="21"/>
              </w:rPr>
              <w:t>项：固废排放、火灾</w:t>
            </w:r>
            <w:r>
              <w:rPr>
                <w:rFonts w:hint="eastAsia"/>
                <w:sz w:val="21"/>
                <w:szCs w:val="21"/>
                <w:lang w:eastAsia="zh-CN"/>
              </w:rPr>
              <w:t>、噪声、废气</w:t>
            </w:r>
            <w:r>
              <w:rPr>
                <w:rFonts w:hint="eastAsia"/>
                <w:sz w:val="21"/>
                <w:szCs w:val="21"/>
              </w:rPr>
              <w:t>，评价符合程序要求及公司的实际情况。</w:t>
            </w:r>
          </w:p>
          <w:p>
            <w:pPr>
              <w:spacing w:line="240" w:lineRule="exact"/>
              <w:rPr>
                <w:rFonts w:ascii="宋体" w:hAnsi="宋体"/>
                <w:b/>
                <w:sz w:val="21"/>
                <w:szCs w:val="21"/>
              </w:rPr>
            </w:pPr>
            <w:r>
              <w:rPr>
                <w:rFonts w:hint="eastAsia"/>
                <w:sz w:val="21"/>
                <w:szCs w:val="21"/>
              </w:rPr>
              <w:t>对重要环境因素的控制措施包括制定管理制度、监督检查、应急预案、培训等。提供《重要环境因素识别清单》，其中</w:t>
            </w:r>
            <w:r>
              <w:rPr>
                <w:rFonts w:hint="eastAsia"/>
                <w:sz w:val="21"/>
                <w:szCs w:val="21"/>
                <w:lang w:eastAsia="zh-CN"/>
              </w:rPr>
              <w:t>生产</w:t>
            </w:r>
            <w:r>
              <w:rPr>
                <w:rFonts w:hint="eastAsia"/>
                <w:sz w:val="21"/>
                <w:szCs w:val="21"/>
              </w:rPr>
              <w:t>涉及的重要环境因素：固废排放、火灾</w:t>
            </w:r>
            <w:r>
              <w:rPr>
                <w:rFonts w:hint="eastAsia"/>
                <w:sz w:val="21"/>
                <w:szCs w:val="21"/>
                <w:lang w:eastAsia="zh-CN"/>
              </w:rPr>
              <w:t>、噪声、废气</w:t>
            </w:r>
            <w:r>
              <w:rPr>
                <w:rFonts w:hint="eastAsia"/>
                <w:sz w:val="21"/>
                <w:szCs w:val="21"/>
              </w:rPr>
              <w:t>，评价基本合理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pPr>
            <w:r>
              <w:t xml:space="preserve">7. </w:t>
            </w:r>
            <w:r>
              <w:rPr>
                <w:rFonts w:hint="eastAsia"/>
              </w:rPr>
              <w:t>□</w:t>
            </w:r>
            <w:r>
              <w:t>OHSMS</w:t>
            </w:r>
            <w:r>
              <w:rPr>
                <w:rFonts w:hint="eastAsia"/>
              </w:rPr>
              <w:t>职业健康安全危险源</w:t>
            </w:r>
          </w:p>
          <w:p>
            <w:pPr>
              <w:spacing w:line="240" w:lineRule="exact"/>
              <w:rPr>
                <w:rFonts w:hint="eastAsia"/>
              </w:rPr>
            </w:pPr>
            <w:r>
              <w:rPr>
                <w:rFonts w:hint="eastAsia"/>
              </w:rPr>
              <w:t>（职业健康安全危险源辨识是否充分、风险评价合理性，以及风险评价动态变更的及时性等）</w:t>
            </w:r>
          </w:p>
          <w:p>
            <w:pPr>
              <w:ind w:firstLine="420" w:firstLineChars="200"/>
              <w:rPr>
                <w:rFonts w:hint="eastAsia"/>
                <w:sz w:val="21"/>
                <w:szCs w:val="21"/>
              </w:rPr>
            </w:pPr>
            <w:r>
              <w:rPr>
                <w:rFonts w:hint="eastAsia"/>
                <w:sz w:val="21"/>
                <w:szCs w:val="21"/>
                <w:lang w:eastAsia="zh-CN"/>
              </w:rPr>
              <w:t>编制</w:t>
            </w:r>
            <w:r>
              <w:rPr>
                <w:rFonts w:hint="eastAsia"/>
                <w:sz w:val="21"/>
                <w:szCs w:val="21"/>
              </w:rPr>
              <w:t>《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sz w:val="21"/>
                <w:szCs w:val="21"/>
              </w:rPr>
            </w:pPr>
            <w:r>
              <w:rPr>
                <w:rFonts w:hint="eastAsia"/>
                <w:sz w:val="21"/>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sz w:val="21"/>
                <w:szCs w:val="21"/>
                <w:lang w:val="en-US" w:eastAsia="zh-CN"/>
              </w:rPr>
              <w:t>5</w:t>
            </w:r>
            <w:bookmarkStart w:id="29" w:name="_GoBack"/>
            <w:bookmarkEnd w:id="29"/>
            <w:r>
              <w:rPr>
                <w:rFonts w:hint="eastAsia"/>
                <w:sz w:val="21"/>
                <w:szCs w:val="21"/>
              </w:rPr>
              <w:t>项，涉及：火灾和触电</w:t>
            </w:r>
            <w:r>
              <w:rPr>
                <w:rFonts w:hint="eastAsia"/>
                <w:sz w:val="21"/>
                <w:szCs w:val="21"/>
                <w:lang w:eastAsia="zh-CN"/>
              </w:rPr>
              <w:t>、机械伤害、职业病、</w:t>
            </w:r>
            <w:r>
              <w:rPr>
                <w:rFonts w:hint="eastAsia"/>
                <w:sz w:val="21"/>
                <w:szCs w:val="21"/>
                <w:lang w:val="en-US" w:eastAsia="zh-CN"/>
              </w:rPr>
              <w:t>意外</w:t>
            </w:r>
            <w:r>
              <w:rPr>
                <w:rFonts w:hint="eastAsia"/>
                <w:sz w:val="21"/>
                <w:szCs w:val="21"/>
                <w:lang w:eastAsia="zh-CN"/>
              </w:rPr>
              <w:t>伤害。</w:t>
            </w:r>
            <w:r>
              <w:rPr>
                <w:rFonts w:hint="eastAsia"/>
                <w:sz w:val="21"/>
                <w:szCs w:val="21"/>
              </w:rPr>
              <w:t>评价符合程序要求及公司的实际情况。对危险源的控制措施包括制定管理制度、监督检查、应急预案、培训等。</w:t>
            </w:r>
          </w:p>
          <w:p>
            <w:pPr>
              <w:pStyle w:val="2"/>
            </w:pPr>
            <w:r>
              <w:rPr>
                <w:rFonts w:hint="eastAsia" w:ascii="Times New Roman" w:hAnsi="Times New Roman" w:eastAsia="宋体" w:cs="Times New Roman"/>
                <w:bCs w:val="0"/>
                <w:spacing w:val="0"/>
                <w:kern w:val="2"/>
                <w:sz w:val="21"/>
                <w:szCs w:val="21"/>
                <w:lang w:val="en-US" w:eastAsia="zh-CN" w:bidi="ar-SA"/>
              </w:rPr>
              <w:t>根据组织经营性质，识别了各部门和场所的危险源，并对危险源进行了评价，评价出不可接受风险，识别基本齐全无遗漏；评价合理。基本了解评价动态变更的及时性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3"/>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w:t>
            </w:r>
            <w:r>
              <w:rPr>
                <w:rFonts w:hint="eastAsia" w:ascii="宋体" w:hAnsi="宋体"/>
                <w:b/>
                <w:color w:val="000000" w:themeColor="text1"/>
                <w:szCs w:val="21"/>
                <w:lang w:val="en-US" w:eastAsia="zh-CN"/>
              </w:rPr>
              <w:t>70</w:t>
            </w:r>
            <w:r>
              <w:rPr>
                <w:rFonts w:hint="eastAsia" w:ascii="宋体" w:hAnsi="宋体"/>
                <w:b/>
                <w:color w:val="000000" w:themeColor="text1"/>
                <w:szCs w:val="21"/>
              </w:rPr>
              <w:t>项，■法律法规获取充分，□法律法规获取有遗漏，缺少</w:t>
            </w:r>
          </w:p>
          <w:p>
            <w:pPr>
              <w:tabs>
                <w:tab w:val="left" w:pos="540"/>
              </w:tabs>
              <w:spacing w:line="300" w:lineRule="exact"/>
              <w:ind w:left="1" w:leftChars="-43" w:hanging="104" w:hangingChars="43"/>
              <w:rPr>
                <w:rFonts w:ascii="宋体" w:hAnsi="宋体"/>
                <w:b/>
                <w:color w:val="000000" w:themeColor="text1"/>
                <w:szCs w:val="21"/>
                <w:u w:val="single"/>
              </w:rPr>
            </w:pPr>
          </w:p>
          <w:p>
            <w:pPr>
              <w:pStyle w:val="13"/>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5"/>
              <w:numPr>
                <w:ilvl w:val="0"/>
                <w:numId w:val="3"/>
              </w:numPr>
              <w:tabs>
                <w:tab w:val="left" w:pos="540"/>
              </w:tabs>
              <w:spacing w:line="300" w:lineRule="exact"/>
              <w:ind w:firstLineChars="0"/>
              <w:rPr>
                <w:rFonts w:ascii="宋体" w:hAnsi="宋体"/>
                <w:szCs w:val="21"/>
              </w:rPr>
            </w:pPr>
            <w:r>
              <w:rPr>
                <w:rFonts w:hint="eastAsia" w:ascii="宋体" w:hAnsi="宋体"/>
                <w:b/>
                <w:color w:val="000000" w:themeColor="text1"/>
                <w:szCs w:val="21"/>
              </w:rPr>
              <w:t>法律法规的宣传方式：</w:t>
            </w:r>
            <w:r>
              <w:rPr>
                <w:rFonts w:hint="eastAsia" w:ascii="宋体" w:hAnsi="宋体"/>
                <w:szCs w:val="21"/>
              </w:rPr>
              <w:t>进行发放纸质文件、电子文件的形式</w:t>
            </w:r>
          </w:p>
          <w:p>
            <w:pPr>
              <w:pStyle w:val="15"/>
              <w:numPr>
                <w:ilvl w:val="0"/>
                <w:numId w:val="3"/>
              </w:numPr>
              <w:tabs>
                <w:tab w:val="left" w:pos="540"/>
              </w:tabs>
              <w:spacing w:line="300" w:lineRule="exact"/>
              <w:ind w:firstLineChars="0"/>
              <w:rPr>
                <w:rFonts w:ascii="宋体" w:hAnsi="宋体"/>
                <w:b/>
                <w:szCs w:val="21"/>
              </w:rPr>
            </w:pPr>
            <w:r>
              <w:rPr>
                <w:rFonts w:hint="eastAsia" w:ascii="宋体" w:hAnsi="宋体"/>
                <w:b/>
                <w:color w:val="000000" w:themeColor="text1"/>
                <w:szCs w:val="21"/>
              </w:rPr>
              <w:t>法律法规要求及时更新了</w:t>
            </w:r>
            <w:r>
              <w:rPr>
                <w:rFonts w:hint="eastAsia" w:ascii="宋体" w:hAnsi="宋体"/>
                <w:szCs w:val="21"/>
              </w:rPr>
              <w:t>每年一次</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pStyle w:val="2"/>
            </w:pPr>
          </w:p>
          <w:p>
            <w:pPr>
              <w:spacing w:line="240" w:lineRule="exact"/>
              <w:rPr>
                <w:rFonts w:ascii="宋体" w:hAnsi="宋体"/>
                <w:b/>
                <w:sz w:val="21"/>
                <w:szCs w:val="21"/>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pPr>
            <w:r>
              <w:t xml:space="preserve">6. </w:t>
            </w:r>
            <w:r>
              <w:rPr>
                <w:rFonts w:hint="eastAsia"/>
              </w:rPr>
              <w:t>文件与记录控制</w:t>
            </w:r>
            <w:r>
              <w:t>(</w:t>
            </w:r>
            <w:r>
              <w:rPr>
                <w:rFonts w:hint="eastAsia"/>
              </w:rPr>
              <w:t>文审修订后文件与标准的符合程度评价、文件控制管理等</w:t>
            </w:r>
            <w:r>
              <w:t>)</w:t>
            </w:r>
          </w:p>
          <w:p>
            <w:pPr>
              <w:tabs>
                <w:tab w:val="left" w:pos="540"/>
              </w:tabs>
              <w:spacing w:line="240" w:lineRule="exact"/>
            </w:pPr>
          </w:p>
          <w:p>
            <w:pPr>
              <w:pStyle w:val="2"/>
            </w:pPr>
            <w:r>
              <w:rPr>
                <w:rFonts w:hint="eastAsia"/>
                <w:bCs/>
                <w:szCs w:val="21"/>
              </w:rPr>
              <w:t>文件符合标准要求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rPr>
                <w:rFonts w:ascii="宋体" w:hAnsi="宋体"/>
                <w:b/>
                <w:sz w:val="21"/>
                <w:szCs w:val="21"/>
              </w:rPr>
            </w:pPr>
            <w:r>
              <w:rPr>
                <w:rFonts w:hint="eastAsia"/>
                <w:bCs/>
                <w:szCs w:val="21"/>
              </w:rPr>
              <w:t>该公司员工共</w:t>
            </w:r>
            <w:r>
              <w:rPr>
                <w:rFonts w:hint="eastAsia"/>
                <w:bCs/>
                <w:szCs w:val="21"/>
                <w:lang w:val="en-US" w:eastAsia="zh-CN"/>
              </w:rPr>
              <w:t>30</w:t>
            </w:r>
            <w:r>
              <w:rPr>
                <w:rFonts w:hint="eastAsia"/>
                <w:bCs/>
                <w:szCs w:val="21"/>
              </w:rPr>
              <w:t>人，管理人员</w:t>
            </w:r>
            <w:r>
              <w:rPr>
                <w:rFonts w:hint="eastAsia"/>
                <w:bCs/>
                <w:szCs w:val="21"/>
                <w:lang w:val="en-US" w:eastAsia="zh-CN"/>
              </w:rPr>
              <w:t>5</w:t>
            </w:r>
            <w:r>
              <w:rPr>
                <w:rFonts w:hint="eastAsia"/>
                <w:bCs/>
                <w:szCs w:val="21"/>
              </w:rPr>
              <w:t>人。有专业的</w:t>
            </w:r>
            <w:r>
              <w:rPr>
                <w:rFonts w:hint="eastAsia"/>
                <w:bCs/>
                <w:szCs w:val="21"/>
                <w:lang w:eastAsia="zh-CN"/>
              </w:rPr>
              <w:t>生产</w:t>
            </w:r>
            <w:r>
              <w:rPr>
                <w:rFonts w:hint="eastAsia"/>
                <w:bCs/>
                <w:szCs w:val="21"/>
              </w:rPr>
              <w:t>人员</w:t>
            </w:r>
            <w:r>
              <w:rPr>
                <w:rFonts w:hint="eastAsia"/>
                <w:bCs/>
                <w:szCs w:val="21"/>
                <w:lang w:eastAsia="zh-CN"/>
              </w:rPr>
              <w:t>、技术人员</w:t>
            </w:r>
            <w:r>
              <w:rPr>
                <w:rFonts w:hint="eastAsia"/>
                <w:bCs/>
                <w:szCs w:val="21"/>
              </w:rPr>
              <w:t>，能满足</w:t>
            </w:r>
            <w:r>
              <w:rPr>
                <w:rFonts w:hint="eastAsia" w:ascii="宋体" w:hAnsi="宋体"/>
              </w:rPr>
              <w:t>给水涂塑复合管、消防涂塑复合管的制造</w:t>
            </w:r>
            <w:r>
              <w:rPr>
                <w:rFonts w:hint="eastAsia" w:ascii="宋体" w:hAnsi="宋体" w:cs="宋体"/>
                <w:kern w:val="0"/>
                <w:szCs w:val="21"/>
                <w:lang w:eastAsia="zh-CN"/>
              </w:rPr>
              <w:t>的环境及职业健康安全要求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240" w:lineRule="exact"/>
              <w:rPr>
                <w:rFonts w:ascii="宋体" w:hAnsi="宋体"/>
                <w:b/>
                <w:sz w:val="21"/>
                <w:szCs w:val="21"/>
              </w:rPr>
            </w:pPr>
          </w:p>
          <w:p>
            <w:pPr>
              <w:spacing w:line="240" w:lineRule="exact"/>
              <w:rPr>
                <w:rFonts w:hint="eastAsia" w:ascii="宋体" w:hAnsi="宋体" w:eastAsia="宋体" w:cs="宋体"/>
                <w:sz w:val="21"/>
                <w:szCs w:val="21"/>
              </w:rPr>
            </w:pPr>
            <w:r>
              <w:rPr>
                <w:rFonts w:hint="eastAsia" w:ascii="宋体" w:hAnsi="宋体" w:eastAsia="宋体" w:cs="宋体"/>
                <w:sz w:val="21"/>
                <w:szCs w:val="21"/>
              </w:rPr>
              <w:t>基础设施</w:t>
            </w:r>
          </w:p>
          <w:p>
            <w:pPr>
              <w:spacing w:line="240" w:lineRule="exact"/>
              <w:rPr>
                <w:rFonts w:hint="eastAsia" w:ascii="宋体" w:hAnsi="宋体" w:eastAsia="宋体" w:cs="宋体"/>
                <w:sz w:val="21"/>
                <w:szCs w:val="21"/>
              </w:rPr>
            </w:pPr>
            <w:r>
              <w:rPr>
                <w:rFonts w:hint="eastAsia" w:ascii="宋体" w:hAnsi="宋体" w:cs="宋体"/>
                <w:sz w:val="21"/>
                <w:szCs w:val="21"/>
                <w:lang w:eastAsia="zh-CN"/>
              </w:rPr>
              <w:t>生产设施：</w:t>
            </w:r>
            <w:r>
              <w:rPr>
                <w:rFonts w:hint="eastAsia"/>
                <w:lang w:val="en-US" w:eastAsia="zh-CN"/>
              </w:rPr>
              <w:t xml:space="preserve">自动压槽机1台   人工压槽机 3台  内抛丸机  1台   外抛丸机2台 </w:t>
            </w:r>
            <w:r>
              <w:rPr>
                <w:rFonts w:hint="eastAsia" w:ascii="宋体" w:hAnsi="宋体" w:cs="宋体"/>
                <w:sz w:val="21"/>
                <w:szCs w:val="21"/>
                <w:lang w:val="en-US" w:eastAsia="zh-CN"/>
              </w:rPr>
              <w:t>等</w:t>
            </w:r>
            <w:r>
              <w:rPr>
                <w:rFonts w:hint="eastAsia" w:ascii="宋体" w:hAnsi="宋体" w:cs="宋体"/>
                <w:sz w:val="21"/>
                <w:szCs w:val="21"/>
                <w:lang w:eastAsia="zh-CN"/>
              </w:rPr>
              <w:t>设施</w:t>
            </w:r>
            <w:r>
              <w:rPr>
                <w:rFonts w:hint="eastAsia" w:ascii="宋体" w:hAnsi="宋体" w:eastAsia="宋体" w:cs="宋体"/>
                <w:sz w:val="21"/>
                <w:szCs w:val="21"/>
              </w:rPr>
              <w:t>等</w:t>
            </w:r>
          </w:p>
          <w:p>
            <w:pPr>
              <w:pStyle w:val="2"/>
              <w:rPr>
                <w:rFonts w:hint="eastAsia" w:eastAsia="宋体"/>
                <w:lang w:eastAsia="zh-CN"/>
              </w:rPr>
            </w:pPr>
            <w:r>
              <w:rPr>
                <w:rFonts w:hint="eastAsia" w:ascii="宋体" w:hAnsi="宋体" w:cs="宋体"/>
                <w:sz w:val="21"/>
                <w:szCs w:val="21"/>
                <w:lang w:eastAsia="zh-CN"/>
              </w:rPr>
              <w:t>办公设施：电脑、打印机、复印机等</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r>
              <w:rPr>
                <w:rFonts w:hint="eastAsia"/>
              </w:rPr>
              <w:t>现场观察</w:t>
            </w:r>
            <w:r>
              <w:rPr>
                <w:rFonts w:hint="eastAsia"/>
                <w:lang w:eastAsia="zh-CN"/>
              </w:rPr>
              <w:t>生产车间、</w:t>
            </w:r>
            <w:r>
              <w:rPr>
                <w:rFonts w:hint="eastAsia"/>
              </w:rPr>
              <w:t>办公区域环境卫生管理，工作场所布局合理，温湿度适宜，照明良好，满足办公需求。</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rPr>
            </w:pPr>
            <w:r>
              <w:rPr>
                <w:rFonts w:hint="eastAsia"/>
              </w:rPr>
              <w:t>监视和测量资源</w:t>
            </w:r>
          </w:p>
          <w:p>
            <w:pPr>
              <w:pStyle w:val="2"/>
            </w:pPr>
            <w:r>
              <w:rPr>
                <w:rFonts w:hint="eastAsia"/>
              </w:rPr>
              <w:t>编制有</w:t>
            </w:r>
            <w:r>
              <w:rPr>
                <w:rFonts w:hint="eastAsia"/>
                <w:lang w:eastAsia="zh-CN"/>
              </w:rPr>
              <w:t>生产环境及职业健康安全运行</w:t>
            </w:r>
            <w:r>
              <w:rPr>
                <w:rFonts w:hint="eastAsia"/>
              </w:rPr>
              <w:t>检查记录，能不定期对</w:t>
            </w:r>
            <w:r>
              <w:rPr>
                <w:rFonts w:hint="eastAsia"/>
                <w:lang w:eastAsia="zh-CN"/>
              </w:rPr>
              <w:t>环境及职业健康安全</w:t>
            </w:r>
            <w:r>
              <w:rPr>
                <w:rFonts w:hint="eastAsia"/>
              </w:rPr>
              <w:t>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r>
              <w:rPr>
                <w:rFonts w:hint="eastAsia"/>
              </w:rPr>
              <w:t>公司确定运行过程所需的知识，内部来源包括公司运作准则（管理制度、工作记录等）等。外部来源包括外来资料如认证标准、法律法规、市场信息等。</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rPr>
            </w:pPr>
            <w:r>
              <w:rPr>
                <w:rFonts w:hint="eastAsia"/>
              </w:rPr>
              <w:t>环保设施：</w:t>
            </w:r>
          </w:p>
          <w:p>
            <w:pPr>
              <w:spacing w:line="240" w:lineRule="exact"/>
              <w:rPr>
                <w:rFonts w:ascii="宋体" w:hAnsi="宋体"/>
                <w:color w:val="000000" w:themeColor="text1"/>
                <w:sz w:val="20"/>
                <w:szCs w:val="20"/>
              </w:rPr>
            </w:pPr>
            <w:r>
              <w:rPr>
                <w:rFonts w:hint="eastAsia" w:ascii="宋体" w:hAnsi="宋体"/>
                <w:b/>
                <w:sz w:val="21"/>
                <w:szCs w:val="21"/>
                <w:lang w:val="en-US" w:eastAsia="zh-CN"/>
              </w:rPr>
              <w:t>废气处理装置、</w:t>
            </w:r>
            <w:r>
              <w:rPr>
                <w:rFonts w:hint="eastAsia"/>
              </w:rPr>
              <w:t>活性炭吸附装置</w:t>
            </w:r>
            <w:r>
              <w:rPr>
                <w:rFonts w:hint="eastAsia"/>
                <w:lang w:eastAsia="zh-CN"/>
              </w:rPr>
              <w:t>、灭火器</w:t>
            </w:r>
            <w:r>
              <w:rPr>
                <w:rFonts w:hint="eastAsia"/>
              </w:rPr>
              <w:t>等环保设施。</w:t>
            </w:r>
          </w:p>
          <w:p>
            <w:pPr>
              <w:pStyle w:val="2"/>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rPr>
            </w:pPr>
            <w:r>
              <w:rPr>
                <w:rFonts w:hint="eastAsia"/>
              </w:rPr>
              <w:t>职业健康安全设施：</w:t>
            </w:r>
          </w:p>
          <w:p>
            <w:pPr>
              <w:pStyle w:val="2"/>
              <w:rPr>
                <w:rFonts w:hint="eastAsia" w:ascii="宋体" w:hAnsi="宋体"/>
                <w:b/>
                <w:sz w:val="21"/>
                <w:szCs w:val="21"/>
              </w:rPr>
            </w:pPr>
          </w:p>
          <w:p>
            <w:pPr>
              <w:spacing w:line="240" w:lineRule="exact"/>
              <w:rPr>
                <w:rFonts w:hint="eastAsia"/>
              </w:rPr>
            </w:pPr>
            <w:r>
              <w:rPr>
                <w:rFonts w:hint="eastAsia"/>
              </w:rPr>
              <w:t>配备有灭火器</w:t>
            </w:r>
            <w:r>
              <w:rPr>
                <w:rFonts w:hint="eastAsia"/>
                <w:lang w:eastAsia="zh-CN"/>
              </w:rPr>
              <w:t>、</w:t>
            </w:r>
            <w:r>
              <w:rPr>
                <w:rFonts w:hint="eastAsia"/>
                <w:lang w:val="en-US" w:eastAsia="zh-CN"/>
              </w:rPr>
              <w:t>消防栓</w:t>
            </w:r>
            <w:r>
              <w:rPr>
                <w:rFonts w:hint="eastAsia"/>
              </w:rPr>
              <w:t>等</w:t>
            </w:r>
            <w:r>
              <w:rPr>
                <w:rFonts w:hint="eastAsia"/>
                <w:lang w:val="en-US" w:eastAsia="zh-CN"/>
              </w:rPr>
              <w:t>消防</w:t>
            </w:r>
            <w:r>
              <w:rPr>
                <w:rFonts w:hint="eastAsia"/>
              </w:rPr>
              <w:t>设施。</w:t>
            </w:r>
          </w:p>
          <w:p>
            <w:pPr>
              <w:pStyle w:val="2"/>
              <w:rPr>
                <w:rFonts w:hint="eastAsia"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pPr>
            <w:r>
              <w:t xml:space="preserve">1. </w:t>
            </w:r>
            <w:r>
              <w:rPr>
                <w:rFonts w:hint="eastAsia"/>
              </w:rPr>
              <w:t>针对方针的管理职责评审</w:t>
            </w:r>
          </w:p>
          <w:p>
            <w:pPr>
              <w:spacing w:line="300" w:lineRule="exact"/>
              <w:ind w:left="1"/>
              <w:rPr>
                <w:rFonts w:hint="eastAsia"/>
              </w:rPr>
            </w:pPr>
            <w:r>
              <w:rPr>
                <w:rFonts w:hint="eastAsia"/>
              </w:rPr>
              <w:t>（包括针对组织宗旨，制定相关管理方针政策、确保方针为员工理解并在运营中实施，监视方针的实施并评审方针的适宜性）</w:t>
            </w:r>
          </w:p>
          <w:p>
            <w:pPr>
              <w:pStyle w:val="2"/>
              <w:rPr>
                <w:rFonts w:hint="eastAsia" w:ascii="宋体" w:hAnsi="宋体"/>
                <w:b/>
                <w:sz w:val="21"/>
                <w:szCs w:val="21"/>
              </w:rPr>
            </w:pPr>
          </w:p>
          <w:p>
            <w:pPr>
              <w:spacing w:line="300" w:lineRule="exact"/>
              <w:ind w:left="1"/>
              <w:rPr>
                <w:b/>
                <w:color w:val="000000" w:themeColor="text1"/>
                <w:sz w:val="20"/>
                <w:szCs w:val="20"/>
              </w:rPr>
            </w:pPr>
            <w:r>
              <w:rPr>
                <w:rFonts w:hint="eastAsia"/>
                <w:bCs/>
                <w:szCs w:val="21"/>
              </w:rPr>
              <w:t>制定的方针符合组织宗旨，对方针进行宣传和传达学习，可以确保方针为员工理解。在管理评审中对方针进行了评价，目前基本适宜。</w:t>
            </w:r>
          </w:p>
          <w:p>
            <w:pPr>
              <w:pStyle w:val="2"/>
              <w:rPr>
                <w:rFonts w:hint="eastAsia"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宋体" w:hAnsi="宋体"/>
                <w:b/>
                <w:sz w:val="21"/>
                <w:szCs w:val="21"/>
              </w:rPr>
            </w:pPr>
          </w:p>
          <w:p>
            <w:pPr>
              <w:spacing w:line="240" w:lineRule="exact"/>
              <w:rPr>
                <w:bCs/>
                <w:szCs w:val="21"/>
              </w:rPr>
            </w:pPr>
            <w:r>
              <w:rPr>
                <w:rFonts w:hint="eastAsia" w:ascii="楷体_GB2312" w:eastAsia="楷体_GB2312"/>
                <w:b/>
                <w:szCs w:val="21"/>
              </w:rPr>
              <w:t>组织对外联络，关注顾客的感受情况（QMS）：</w:t>
            </w:r>
          </w:p>
          <w:p>
            <w:pPr>
              <w:spacing w:line="240" w:lineRule="exact"/>
              <w:rPr>
                <w:rFonts w:ascii="楷体_GB2312" w:eastAsia="楷体_GB2312"/>
                <w:b/>
                <w:szCs w:val="21"/>
              </w:rPr>
            </w:pPr>
            <w:r>
              <w:rPr>
                <w:rFonts w:hint="eastAsia" w:ascii="楷体_GB2312" w:eastAsia="楷体_GB2312"/>
                <w:b/>
                <w:szCs w:val="21"/>
              </w:rPr>
              <w:t>外部信息的接收、成文并答复的情况（E、S填写）：</w:t>
            </w:r>
            <w:r>
              <w:rPr>
                <w:rFonts w:hint="eastAsia"/>
                <w:bCs/>
                <w:szCs w:val="21"/>
              </w:rPr>
              <w:t>进行接收、答复，但未进行记录</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重要环境因素信息对外交流情况（EMS填写）：</w:t>
            </w:r>
            <w:r>
              <w:rPr>
                <w:rFonts w:hint="eastAsia"/>
                <w:bCs/>
                <w:szCs w:val="21"/>
              </w:rPr>
              <w:t>对相关方进行了书面告知，见到相关方告知书。内容符合标准要求</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OHSMS事务代表协商和交流的情况（OHSMS填写）：</w:t>
            </w:r>
            <w:r>
              <w:rPr>
                <w:rFonts w:hint="eastAsia"/>
                <w:bCs/>
                <w:szCs w:val="21"/>
              </w:rPr>
              <w:t>，参与了体系文件的制定，每年召开一次员工代表会议。但未保留记录</w:t>
            </w: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与相关方协商的情况（OHSMS填写）：</w:t>
            </w:r>
            <w:r>
              <w:rPr>
                <w:rFonts w:hint="eastAsia"/>
                <w:bCs/>
                <w:szCs w:val="21"/>
              </w:rPr>
              <w:t>对相关方进行了书面告知，见到相关方告知书。内容符合标准要求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pStyle w:val="2"/>
            </w:pP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11" w:firstLineChars="100"/>
              <w:rPr>
                <w:rFonts w:ascii="宋体" w:hAnsi="宋体"/>
                <w:b/>
                <w:sz w:val="21"/>
                <w:szCs w:val="21"/>
              </w:rPr>
            </w:pPr>
          </w:p>
          <w:p>
            <w:pPr>
              <w:spacing w:line="240" w:lineRule="exact"/>
              <w:ind w:firstLine="211" w:firstLineChars="100"/>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p>
            <w:pPr>
              <w:spacing w:line="300" w:lineRule="exact"/>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pPr>
            <w:r>
              <w:t xml:space="preserve">6. </w:t>
            </w:r>
            <w:r>
              <w:rPr>
                <w:rFonts w:hint="eastAsia"/>
              </w:rPr>
              <w:t>不合格品</w:t>
            </w:r>
            <w:r>
              <w:t>/</w:t>
            </w:r>
            <w:r>
              <w:rPr>
                <w:rFonts w:hint="eastAsia"/>
              </w:rPr>
              <w:t>项的识别、控制</w:t>
            </w:r>
            <w:r>
              <w:t>;</w:t>
            </w:r>
          </w:p>
          <w:p>
            <w:pPr>
              <w:spacing w:line="240" w:lineRule="exact"/>
            </w:pPr>
          </w:p>
          <w:p>
            <w:pPr>
              <w:pStyle w:val="2"/>
            </w:pPr>
            <w:r>
              <w:rPr>
                <w:rFonts w:hint="eastAsia"/>
                <w:bCs/>
                <w:szCs w:val="21"/>
              </w:rPr>
              <w:t>能对发现的不合格及时进行纠正和控制。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hint="eastAsia"/>
                <w:bCs/>
                <w:szCs w:val="21"/>
              </w:rPr>
            </w:pPr>
          </w:p>
          <w:p>
            <w:pPr>
              <w:spacing w:line="240" w:lineRule="exact"/>
              <w:ind w:firstLine="240" w:firstLineChars="100"/>
              <w:rPr>
                <w:rFonts w:ascii="宋体" w:hAnsi="宋体"/>
                <w:b/>
                <w:sz w:val="21"/>
                <w:szCs w:val="21"/>
              </w:rPr>
            </w:pPr>
            <w:r>
              <w:rPr>
                <w:rFonts w:hint="eastAsia"/>
                <w:bCs/>
                <w:szCs w:val="21"/>
              </w:rPr>
              <w:t>对重要环境因素（</w:t>
            </w:r>
            <w:r>
              <w:rPr>
                <w:rFonts w:hint="eastAsia"/>
                <w:sz w:val="21"/>
                <w:szCs w:val="21"/>
              </w:rPr>
              <w:t>固废排放、火灾</w:t>
            </w:r>
            <w:r>
              <w:rPr>
                <w:rFonts w:hint="eastAsia"/>
                <w:sz w:val="21"/>
                <w:szCs w:val="21"/>
                <w:lang w:eastAsia="zh-CN"/>
              </w:rPr>
              <w:t>、噪声、废气</w:t>
            </w:r>
            <w:r>
              <w:rPr>
                <w:rFonts w:hint="eastAsia"/>
                <w:bCs/>
                <w:szCs w:val="21"/>
              </w:rPr>
              <w:t>）进行了识别和控制。目前公司重大环境因素对周边环境影响不大，可得到有效控制。对相关方进行了必要告知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4"/>
              </w:numPr>
              <w:spacing w:line="240" w:lineRule="exact"/>
              <w:rPr>
                <w:rFonts w:hint="eastAsia"/>
              </w:rPr>
            </w:pPr>
            <w:r>
              <w:t>OHSMS</w:t>
            </w:r>
            <w:r>
              <w:rPr>
                <w:rFonts w:hint="eastAsia"/>
              </w:rPr>
              <w:t>组织对不可接受风险实施控制的结果</w:t>
            </w:r>
          </w:p>
          <w:p>
            <w:pPr>
              <w:pStyle w:val="2"/>
              <w:numPr>
                <w:ilvl w:val="0"/>
                <w:numId w:val="0"/>
              </w:numPr>
            </w:pPr>
            <w:r>
              <w:rPr>
                <w:rFonts w:hint="eastAsia"/>
                <w:bCs/>
                <w:szCs w:val="21"/>
              </w:rPr>
              <w:t>对不可接受风险（</w:t>
            </w:r>
            <w:r>
              <w:rPr>
                <w:rFonts w:hint="eastAsia"/>
                <w:sz w:val="21"/>
                <w:szCs w:val="21"/>
              </w:rPr>
              <w:t>火灾和触电</w:t>
            </w:r>
            <w:r>
              <w:rPr>
                <w:rFonts w:hint="eastAsia"/>
                <w:sz w:val="21"/>
                <w:szCs w:val="21"/>
                <w:lang w:eastAsia="zh-CN"/>
              </w:rPr>
              <w:t>、机械伤害、职业病。</w:t>
            </w:r>
            <w:r>
              <w:rPr>
                <w:rFonts w:hint="eastAsia"/>
                <w:bCs/>
                <w:szCs w:val="21"/>
              </w:rPr>
              <w:t>）进行了识别和控制。目前公司不可接受风险对公司及周边环境影响不大，可得到有效控制。对相关方进行了必要告知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ascii="宋体" w:hAnsi="宋体"/>
                <w:b/>
                <w:sz w:val="21"/>
                <w:szCs w:val="21"/>
              </w:rPr>
            </w:pPr>
            <w:r>
              <w:rPr>
                <w:rFonts w:hint="eastAsia"/>
                <w:bCs/>
                <w:szCs w:val="21"/>
              </w:rPr>
              <w:t>对火灾等制定了应急预案，并按要求进行了演练和评审，对演练效果进行了评价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ind w:left="240" w:leftChars="100" w:firstLine="100" w:firstLineChars="50"/>
              <w:jc w:val="left"/>
              <w:rPr>
                <w:rFonts w:ascii="宋体" w:hAnsi="宋体"/>
                <w:b/>
                <w:sz w:val="21"/>
                <w:szCs w:val="21"/>
              </w:rPr>
            </w:pPr>
            <w:r>
              <w:rPr>
                <w:rFonts w:hint="eastAsia"/>
                <w:b w:val="0"/>
                <w:bCs/>
                <w:color w:val="000000" w:themeColor="text1"/>
                <w:sz w:val="20"/>
                <w:szCs w:val="20"/>
                <w:lang w:eastAsia="zh-CN"/>
              </w:rPr>
              <w:t>提供特种设备检测报告（</w:t>
            </w:r>
            <w:r>
              <w:rPr>
                <w:rFonts w:hint="eastAsia"/>
                <w:b w:val="0"/>
                <w:bCs/>
                <w:color w:val="000000" w:themeColor="text1"/>
                <w:sz w:val="20"/>
                <w:szCs w:val="20"/>
                <w:lang w:val="en-US" w:eastAsia="zh-CN"/>
              </w:rPr>
              <w:t>天车）见附件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pPr>
            <w:r>
              <w:t>11 .</w:t>
            </w:r>
            <w:r>
              <w:rPr>
                <w:rFonts w:hint="eastAsia"/>
              </w:rPr>
              <w:t>对危险化学品销售、使用、储存、运输处置，规定的执行力度</w:t>
            </w:r>
            <w:r>
              <w:t>(</w:t>
            </w:r>
            <w:r>
              <w:rPr>
                <w:rFonts w:hint="eastAsia"/>
              </w:rPr>
              <w:t>必要时</w:t>
            </w:r>
            <w:r>
              <w:t>);</w:t>
            </w:r>
          </w:p>
          <w:p>
            <w:pPr>
              <w:pStyle w:val="2"/>
              <w:rPr>
                <w:rFonts w:ascii="宋体" w:hAnsi="宋体"/>
                <w:b/>
                <w:sz w:val="21"/>
                <w:szCs w:val="21"/>
              </w:rPr>
            </w:pPr>
          </w:p>
          <w:p>
            <w:pPr>
              <w:pStyle w:val="2"/>
              <w:rPr>
                <w:rFonts w:ascii="宋体" w:hAnsi="宋体"/>
                <w:b/>
                <w:sz w:val="21"/>
                <w:szCs w:val="21"/>
              </w:rPr>
            </w:pPr>
            <w:r>
              <w:rPr>
                <w:rFonts w:hint="eastAsia" w:cs="Times New Roman"/>
                <w:b w:val="0"/>
                <w:bCs/>
                <w:color w:val="000000" w:themeColor="text1"/>
                <w:spacing w:val="0"/>
                <w:kern w:val="2"/>
                <w:sz w:val="20"/>
                <w:szCs w:val="20"/>
                <w:lang w:val="en-US" w:eastAsia="zh-CN" w:bidi="ar-SA"/>
              </w:rPr>
              <w:t>公司有废油桶、废油手套，提供危废处理协议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b/>
                <w:color w:val="000000" w:themeColor="text1"/>
                <w:sz w:val="20"/>
                <w:szCs w:val="20"/>
              </w:rPr>
            </w:pPr>
          </w:p>
          <w:p>
            <w:pPr>
              <w:spacing w:line="240" w:lineRule="exact"/>
              <w:ind w:firstLine="120" w:firstLineChars="50"/>
              <w:rPr>
                <w:bCs/>
                <w:szCs w:val="21"/>
              </w:rPr>
            </w:pPr>
            <w:r>
              <w:rPr>
                <w:rFonts w:hint="eastAsia"/>
                <w:bCs/>
                <w:szCs w:val="21"/>
              </w:rPr>
              <w:t>对环境/安全目标指标进行了考核，各部门基本可以完成环境/安全目标要求。目标具备可测量性</w:t>
            </w:r>
          </w:p>
          <w:p>
            <w:pPr>
              <w:spacing w:line="240" w:lineRule="exact"/>
              <w:ind w:firstLine="105" w:firstLineChars="5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0" w:hanging="100" w:hangingChars="50"/>
              <w:rPr>
                <w:b/>
                <w:color w:val="000000" w:themeColor="text1"/>
                <w:sz w:val="20"/>
                <w:szCs w:val="20"/>
              </w:rPr>
            </w:pPr>
          </w:p>
          <w:p>
            <w:pPr>
              <w:spacing w:line="240" w:lineRule="exact"/>
              <w:ind w:left="120" w:leftChars="0" w:hanging="120" w:hangingChars="50"/>
              <w:rPr>
                <w:rFonts w:ascii="宋体" w:hAnsi="宋体"/>
                <w:b/>
                <w:sz w:val="21"/>
                <w:szCs w:val="21"/>
              </w:rPr>
            </w:pPr>
            <w:r>
              <w:rPr>
                <w:rFonts w:hint="eastAsia"/>
                <w:bCs/>
                <w:szCs w:val="21"/>
              </w:rPr>
              <w:t>对顾客进行满意度调查，并进行了分析。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b/>
                <w:color w:val="000000" w:themeColor="text1"/>
                <w:spacing w:val="-8"/>
                <w:sz w:val="20"/>
                <w:szCs w:val="20"/>
              </w:rPr>
            </w:pPr>
          </w:p>
          <w:p>
            <w:pPr>
              <w:spacing w:line="240" w:lineRule="exact"/>
              <w:rPr>
                <w:rFonts w:ascii="宋体" w:hAnsi="宋体"/>
                <w:b/>
                <w:sz w:val="21"/>
                <w:szCs w:val="21"/>
              </w:rPr>
            </w:pPr>
            <w:r>
              <w:rPr>
                <w:rFonts w:hint="eastAsia"/>
                <w:bCs/>
                <w:szCs w:val="21"/>
              </w:rPr>
              <w:t>本年度内审已按计划实施，内审策划审核方案中考虑了拟审核的过程和区域的状况和重要性，内审结论：体系运行有效。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p>
          <w:p>
            <w:pPr>
              <w:spacing w:line="240" w:lineRule="exact"/>
              <w:rPr>
                <w:rFonts w:ascii="宋体" w:hAnsi="宋体"/>
                <w:b/>
                <w:sz w:val="21"/>
                <w:szCs w:val="21"/>
              </w:rPr>
            </w:pPr>
            <w:r>
              <w:rPr>
                <w:rFonts w:hint="eastAsia"/>
                <w:bCs/>
                <w:szCs w:val="21"/>
              </w:rPr>
              <w:t>本年度管理评审已按计划实施，管理评审考虑了体系变更需求，制定了纠正或预防措施，体系运行基本有效。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b/>
                <w:color w:val="FF0000"/>
                <w:sz w:val="20"/>
                <w:szCs w:val="20"/>
              </w:rPr>
            </w:pPr>
          </w:p>
          <w:p>
            <w:pPr>
              <w:spacing w:line="240" w:lineRule="exact"/>
              <w:rPr>
                <w:rFonts w:ascii="宋体" w:hAnsi="宋体"/>
                <w:b/>
                <w:sz w:val="21"/>
                <w:szCs w:val="21"/>
              </w:rPr>
            </w:pPr>
            <w:r>
              <w:rPr>
                <w:rFonts w:hint="eastAsia"/>
                <w:b/>
                <w:color w:val="000000" w:themeColor="text1"/>
                <w:sz w:val="20"/>
                <w:szCs w:val="20"/>
                <w:lang w:val="en-US" w:eastAsia="zh-CN"/>
              </w:rPr>
              <w:t>提供环评报告，环境监测报告。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300" w:lineRule="exact"/>
              <w:rPr>
                <w:rFonts w:ascii="宋体" w:hAnsi="宋体"/>
                <w:b/>
                <w:sz w:val="21"/>
                <w:szCs w:val="21"/>
              </w:rPr>
            </w:pP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numPr>
                <w:ilvl w:val="0"/>
                <w:numId w:val="4"/>
              </w:numPr>
              <w:spacing w:line="240" w:lineRule="exact"/>
              <w:ind w:left="0" w:leftChars="0" w:firstLine="0" w:firstLineChars="0"/>
              <w:rPr>
                <w:rFonts w:hint="eastAsia"/>
              </w:rPr>
            </w:pPr>
            <w:r>
              <w:rPr>
                <w:rFonts w:hint="eastAsia"/>
              </w:rPr>
              <w:t>其他能够标明组织绩效、信誉的证据</w:t>
            </w:r>
            <w:r>
              <w:t>/</w:t>
            </w:r>
            <w:r>
              <w:rPr>
                <w:rFonts w:hint="eastAsia"/>
              </w:rPr>
              <w:t>信息：</w:t>
            </w:r>
          </w:p>
          <w:p>
            <w:pPr>
              <w:pStyle w:val="2"/>
              <w:numPr>
                <w:ilvl w:val="0"/>
                <w:numId w:val="0"/>
              </w:numPr>
              <w:ind w:leftChars="0"/>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rPr>
                <w:b/>
                <w:color w:val="000000" w:themeColor="text1"/>
                <w:sz w:val="20"/>
                <w:szCs w:val="20"/>
              </w:rPr>
            </w:pPr>
          </w:p>
          <w:p>
            <w:pPr>
              <w:spacing w:line="240" w:lineRule="exact"/>
              <w:rPr>
                <w:rFonts w:ascii="宋体" w:hAnsi="宋体"/>
                <w:b/>
                <w:sz w:val="21"/>
                <w:szCs w:val="21"/>
              </w:rPr>
            </w:pPr>
            <w:r>
              <w:rPr>
                <w:rFonts w:hint="eastAsia"/>
                <w:bCs/>
                <w:szCs w:val="21"/>
              </w:rPr>
              <w:t>对发现的不合格产品和服务进行了分析、制定了纠正措施，进行了整改，对整改效果进行了追踪验证，结论合格，对不合格品可以进行有效控制。对内审中发现的不合格已制定纠正措施。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default" w:eastAsia="宋体"/>
                <w:lang w:val="en-US" w:eastAsia="zh-CN"/>
              </w:rPr>
            </w:pPr>
            <w:r>
              <w:t xml:space="preserve">3. </w:t>
            </w:r>
            <w:r>
              <w:rPr>
                <w:rFonts w:hint="eastAsia"/>
              </w:rPr>
              <w:t>创新情况</w:t>
            </w:r>
            <w:r>
              <w:rPr>
                <w:rFonts w:hint="eastAsia"/>
                <w:lang w:eastAsia="zh-CN"/>
              </w:rPr>
              <w:t>：</w:t>
            </w:r>
            <w:r>
              <w:rPr>
                <w:rFonts w:hint="eastAsia"/>
                <w:lang w:val="en-US" w:eastAsia="zh-CN"/>
              </w:rPr>
              <w:t>无创新</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default" w:ascii="宋体" w:hAnsi="宋体" w:eastAsia="宋体"/>
                <w:b/>
                <w:sz w:val="21"/>
                <w:szCs w:val="21"/>
                <w:lang w:val="en-US" w:eastAsia="zh-CN"/>
              </w:rPr>
            </w:pPr>
            <w:r>
              <w:rPr>
                <w:rFonts w:ascii="宋体" w:hAnsi="宋体"/>
                <w:b/>
                <w:sz w:val="21"/>
                <w:szCs w:val="21"/>
              </w:rPr>
              <w:t xml:space="preserve">4. </w:t>
            </w:r>
            <w:r>
              <w:rPr>
                <w:rFonts w:hint="eastAsia" w:ascii="宋体" w:hAnsi="宋体"/>
                <w:b/>
                <w:sz w:val="21"/>
                <w:szCs w:val="21"/>
              </w:rPr>
              <w:t>上次不符合的整改情况</w:t>
            </w:r>
            <w:r>
              <w:rPr>
                <w:rFonts w:hint="eastAsia" w:ascii="宋体" w:hAnsi="宋体"/>
                <w:b/>
                <w:sz w:val="21"/>
                <w:szCs w:val="21"/>
                <w:lang w:eastAsia="zh-CN"/>
              </w:rPr>
              <w:t>：</w:t>
            </w:r>
            <w:r>
              <w:rPr>
                <w:rFonts w:hint="eastAsia" w:ascii="宋体" w:hAnsi="宋体"/>
                <w:b/>
                <w:sz w:val="21"/>
                <w:szCs w:val="21"/>
                <w:lang w:val="en-US" w:eastAsia="zh-CN"/>
              </w:rPr>
              <w:t>已整改</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w:t>
      </w:r>
      <w:r>
        <w:rPr>
          <w:rFonts w:hint="eastAsia" w:ascii="宋体" w:hAnsi="宋体"/>
          <w:b/>
          <w:szCs w:val="21"/>
          <w:lang w:val="en-US" w:eastAsia="zh-CN"/>
        </w:rPr>
        <w:t>2</w:t>
      </w:r>
      <w:r>
        <w:rPr>
          <w:rFonts w:hint="eastAsia" w:ascii="宋体" w:hAnsi="宋体"/>
          <w:b/>
          <w:szCs w:val="21"/>
        </w:rPr>
        <w:t>项报告项；其中</w:t>
      </w:r>
      <w:r>
        <w:rPr>
          <w:rFonts w:ascii="宋体" w:hAnsi="宋体"/>
          <w:b/>
          <w:szCs w:val="21"/>
        </w:rPr>
        <w:pict>
          <v:line id="直接连接符 1" o:spid="_x0000_s1028"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严重不符合项，一般不符合项，观察项项分布在部门条款，见不符合项分布表。（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40" w:lineRule="exact"/>
              <w:rPr>
                <w:rFonts w:hint="eastAsia" w:eastAsia="宋体"/>
                <w:b/>
                <w:color w:val="000000" w:themeColor="text1"/>
                <w:sz w:val="22"/>
                <w:szCs w:val="22"/>
                <w:lang w:eastAsia="zh-CN"/>
              </w:rPr>
            </w:pPr>
            <w:r>
              <w:rPr>
                <w:rFonts w:hint="eastAsia"/>
                <w:bCs/>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w:t>
            </w:r>
            <w:r>
              <w:rPr>
                <w:rFonts w:hint="eastAsia"/>
                <w:bCs/>
                <w:szCs w:val="21"/>
                <w:lang w:val="en-US" w:eastAsia="zh-CN"/>
              </w:rPr>
              <w:t>保持</w:t>
            </w:r>
            <w:r>
              <w:rPr>
                <w:rFonts w:hint="eastAsia"/>
                <w:bCs/>
                <w:szCs w:val="21"/>
              </w:rPr>
              <w:t>认证注册</w:t>
            </w:r>
            <w:r>
              <w:rPr>
                <w:rFonts w:hint="eastAsia"/>
                <w:bCs/>
                <w:szCs w:val="21"/>
                <w:lang w:eastAsia="zh-CN"/>
              </w:rPr>
              <w:t>。</w:t>
            </w: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lang w:eastAsia="zh-CN"/>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r>
        <w:drawing>
          <wp:inline distT="0" distB="0" distL="114300" distR="114300">
            <wp:extent cx="904875" cy="2190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904875" cy="219075"/>
                    </a:xfrm>
                    <a:prstGeom prst="rect">
                      <a:avLst/>
                    </a:prstGeom>
                    <a:noFill/>
                    <a:ln>
                      <a:noFill/>
                    </a:ln>
                  </pic:spPr>
                </pic:pic>
              </a:graphicData>
            </a:graphic>
          </wp:inline>
        </w:drawing>
      </w:r>
    </w:p>
    <w:p>
      <w:pPr>
        <w:snapToGrid w:val="0"/>
        <w:spacing w:before="163" w:beforeLines="50" w:line="320" w:lineRule="exact"/>
        <w:ind w:firstLine="527" w:firstLineChars="250"/>
        <w:rPr>
          <w:b/>
          <w:sz w:val="21"/>
        </w:rPr>
      </w:pPr>
      <w:r>
        <w:rPr>
          <w:rFonts w:hint="eastAsia"/>
          <w:b/>
          <w:sz w:val="21"/>
        </w:rPr>
        <w:t>审核组组员（签名）：</w:t>
      </w:r>
      <w:r>
        <w:drawing>
          <wp:inline distT="0" distB="0" distL="114300" distR="114300">
            <wp:extent cx="904875" cy="288290"/>
            <wp:effectExtent l="0" t="0" r="9525"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904875" cy="288290"/>
                    </a:xfrm>
                    <a:prstGeom prst="rect">
                      <a:avLst/>
                    </a:prstGeom>
                    <a:noFill/>
                    <a:ln>
                      <a:noFill/>
                    </a:ln>
                  </pic:spPr>
                </pic:pic>
              </a:graphicData>
            </a:graphic>
          </wp:inline>
        </w:drawing>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2020.3.25</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lang w:eastAsia="zh-CN"/>
        </w:rPr>
        <w:t>☑</w:t>
      </w:r>
      <w:r>
        <w:rPr>
          <w:b/>
          <w:sz w:val="21"/>
          <w:szCs w:val="21"/>
        </w:rPr>
        <w:t>EMS (</w:t>
      </w:r>
      <w:r>
        <w:rPr>
          <w:rFonts w:hint="eastAsia"/>
          <w:b/>
          <w:sz w:val="21"/>
          <w:szCs w:val="21"/>
          <w:lang w:val="en-US" w:eastAsia="zh-CN"/>
        </w:rPr>
        <w:t>1</w:t>
      </w:r>
      <w:r>
        <w:rPr>
          <w:b/>
          <w:sz w:val="21"/>
          <w:szCs w:val="21"/>
        </w:rPr>
        <w:t>)</w:t>
      </w:r>
      <w:r>
        <w:rPr>
          <w:rFonts w:hint="eastAsia"/>
          <w:b/>
          <w:sz w:val="21"/>
          <w:szCs w:val="21"/>
        </w:rPr>
        <w:t>个</w:t>
      </w:r>
      <w:r>
        <w:rPr>
          <w:rFonts w:hint="eastAsia"/>
          <w:b/>
          <w:sz w:val="21"/>
          <w:szCs w:val="21"/>
          <w:lang w:val="en-US" w:eastAsia="zh-CN"/>
        </w:rPr>
        <w:t xml:space="preserve"> </w:t>
      </w:r>
      <w:r>
        <w:rPr>
          <w:rFonts w:hint="eastAsia"/>
          <w:b/>
          <w:sz w:val="21"/>
          <w:szCs w:val="21"/>
        </w:rPr>
        <w:t>一般不符合，</w:t>
      </w:r>
      <w:r>
        <w:rPr>
          <w:b/>
          <w:sz w:val="21"/>
          <w:szCs w:val="21"/>
        </w:rPr>
        <w:t>( )</w:t>
      </w:r>
      <w:r>
        <w:rPr>
          <w:rFonts w:hint="eastAsia"/>
          <w:b/>
          <w:sz w:val="21"/>
          <w:szCs w:val="21"/>
        </w:rPr>
        <w:t>个严重不符合，</w:t>
      </w:r>
      <w:r>
        <w:rPr>
          <w:rFonts w:hint="eastAsia"/>
          <w:b/>
          <w:sz w:val="21"/>
          <w:szCs w:val="21"/>
          <w:lang w:eastAsia="zh-CN"/>
        </w:rPr>
        <w:t>☑</w:t>
      </w:r>
      <w:r>
        <w:rPr>
          <w:rFonts w:hint="eastAsia"/>
          <w:b/>
          <w:sz w:val="21"/>
          <w:szCs w:val="21"/>
        </w:rPr>
        <w:t>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lang w:eastAsia="zh-CN"/>
        </w:rPr>
        <w:t>☑</w:t>
      </w:r>
      <w:r>
        <w:rPr>
          <w:b/>
          <w:sz w:val="21"/>
          <w:szCs w:val="21"/>
        </w:rPr>
        <w:t xml:space="preserve">OHSMS (  </w:t>
      </w:r>
      <w:r>
        <w:rPr>
          <w:rFonts w:hint="eastAsia"/>
          <w:b/>
          <w:sz w:val="21"/>
          <w:szCs w:val="21"/>
          <w:lang w:val="en-US" w:eastAsia="zh-CN"/>
        </w:rPr>
        <w:t>1</w:t>
      </w:r>
      <w:r>
        <w:rPr>
          <w:b/>
          <w:sz w:val="21"/>
          <w:szCs w:val="21"/>
        </w:rPr>
        <w:t xml:space="preserve">  )</w:t>
      </w:r>
      <w:r>
        <w:rPr>
          <w:rFonts w:hint="eastAsia"/>
          <w:b/>
          <w:sz w:val="21"/>
          <w:szCs w:val="21"/>
        </w:rPr>
        <w:t>个一般不符合，</w:t>
      </w:r>
      <w:r>
        <w:rPr>
          <w:b/>
          <w:sz w:val="21"/>
          <w:szCs w:val="21"/>
        </w:rPr>
        <w:t>(    )</w:t>
      </w:r>
      <w:r>
        <w:rPr>
          <w:rFonts w:hint="eastAsia"/>
          <w:b/>
          <w:sz w:val="21"/>
          <w:szCs w:val="21"/>
        </w:rPr>
        <w:t>个严重不符合，</w:t>
      </w:r>
      <w:r>
        <w:rPr>
          <w:rFonts w:hint="eastAsia"/>
          <w:b/>
          <w:sz w:val="21"/>
          <w:szCs w:val="21"/>
          <w:lang w:eastAsia="zh-CN"/>
        </w:rPr>
        <w:t>☑</w:t>
      </w:r>
      <w:r>
        <w:rPr>
          <w:rFonts w:hint="eastAsia"/>
          <w:b/>
          <w:sz w:val="21"/>
          <w:szCs w:val="21"/>
        </w:rPr>
        <w:t>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r>
        <w:drawing>
          <wp:inline distT="0" distB="0" distL="114300" distR="114300">
            <wp:extent cx="904875" cy="396240"/>
            <wp:effectExtent l="0" t="0" r="9525" b="1016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904875" cy="396240"/>
                    </a:xfrm>
                    <a:prstGeom prst="rect">
                      <a:avLst/>
                    </a:prstGeom>
                    <a:noFill/>
                    <a:ln>
                      <a:noFill/>
                    </a:ln>
                  </pic:spPr>
                </pic:pic>
              </a:graphicData>
            </a:graphic>
          </wp:inline>
        </w:drawing>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5"/>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认证评定负责人：日期：年月日</w:t>
      </w:r>
    </w:p>
    <w:p>
      <w:pPr>
        <w:numPr>
          <w:ilvl w:val="0"/>
          <w:numId w:val="5"/>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批准人（总经理）：日期：年月日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2049"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37E1A7"/>
    <w:multiLevelType w:val="singleLevel"/>
    <w:tmpl w:val="8037E1A7"/>
    <w:lvl w:ilvl="0" w:tentative="0">
      <w:start w:val="3"/>
      <w:numFmt w:val="decimal"/>
      <w:lvlText w:val="%1."/>
      <w:lvlJc w:val="left"/>
      <w:pPr>
        <w:tabs>
          <w:tab w:val="left" w:pos="312"/>
        </w:tabs>
      </w:pPr>
    </w:lvl>
  </w:abstractNum>
  <w:abstractNum w:abstractNumId="1">
    <w:nsid w:val="DC2AA186"/>
    <w:multiLevelType w:val="singleLevel"/>
    <w:tmpl w:val="DC2AA186"/>
    <w:lvl w:ilvl="0" w:tentative="0">
      <w:start w:val="2"/>
      <w:numFmt w:val="decimal"/>
      <w:suff w:val="nothing"/>
      <w:lvlText w:val="%1、"/>
      <w:lvlJc w:val="left"/>
    </w:lvl>
  </w:abstractNum>
  <w:abstractNum w:abstractNumId="2">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3">
    <w:nsid w:val="24DE7E0E"/>
    <w:multiLevelType w:val="singleLevel"/>
    <w:tmpl w:val="24DE7E0E"/>
    <w:lvl w:ilvl="0" w:tentative="0">
      <w:start w:val="8"/>
      <w:numFmt w:val="decimal"/>
      <w:suff w:val="space"/>
      <w:lvlText w:val="%1."/>
      <w:lvlJc w:val="left"/>
    </w:lvl>
  </w:abstractNum>
  <w:abstractNum w:abstractNumId="4">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99917B0"/>
    <w:rsid w:val="525D00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9"/>
    <w:semiHidden/>
    <w:uiPriority w:val="99"/>
    <w:rPr>
      <w:sz w:val="18"/>
      <w:szCs w:val="18"/>
    </w:rPr>
  </w:style>
  <w:style w:type="paragraph" w:styleId="4">
    <w:name w:val="footer"/>
    <w:basedOn w:val="1"/>
    <w:link w:val="10"/>
    <w:semiHidden/>
    <w:uiPriority w:val="99"/>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link w:val="3"/>
    <w:semiHidden/>
    <w:qFormat/>
    <w:locked/>
    <w:uiPriority w:val="99"/>
    <w:rPr>
      <w:rFonts w:ascii="Times New Roman" w:hAnsi="Times New Roman" w:eastAsia="宋体" w:cs="Times New Roman"/>
      <w:sz w:val="18"/>
      <w:szCs w:val="18"/>
    </w:rPr>
  </w:style>
  <w:style w:type="character" w:customStyle="1" w:styleId="10">
    <w:name w:val="页脚 Char"/>
    <w:link w:val="4"/>
    <w:semiHidden/>
    <w:qFormat/>
    <w:locked/>
    <w:uiPriority w:val="99"/>
    <w:rPr>
      <w:rFonts w:ascii="Times New Roman" w:hAnsi="Times New Roman" w:eastAsia="宋体" w:cs="Times New Roman"/>
      <w:sz w:val="18"/>
      <w:szCs w:val="18"/>
    </w:rPr>
  </w:style>
  <w:style w:type="character" w:customStyle="1" w:styleId="11">
    <w:name w:val="页眉 Char"/>
    <w:link w:val="5"/>
    <w:qFormat/>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2</TotalTime>
  <ScaleCrop>false</ScaleCrop>
  <LinksUpToDate>false</LinksUpToDate>
  <CharactersWithSpaces>4386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叶子</cp:lastModifiedBy>
  <cp:lastPrinted>2019-04-18T08:15:00Z</cp:lastPrinted>
  <dcterms:modified xsi:type="dcterms:W3CDTF">2020-03-25T10:26:58Z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