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573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105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04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1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9052" w:type="dxa"/>
            <w:gridSpan w:val="12"/>
            <w:vAlign w:val="center"/>
          </w:tcPr>
          <w:p>
            <w:pPr>
              <w:rPr>
                <w:sz w:val="22"/>
                <w:szCs w:val="22"/>
              </w:rPr>
            </w:pPr>
            <w:bookmarkStart w:id="0" w:name="组织名称"/>
            <w:r>
              <w:rPr>
                <w:sz w:val="22"/>
                <w:szCs w:val="22"/>
              </w:rPr>
              <w:t>沧州浩兴管道有限公司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1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注册地址</w:t>
            </w:r>
          </w:p>
        </w:tc>
        <w:tc>
          <w:tcPr>
            <w:tcW w:w="9052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2"/>
                <w:szCs w:val="22"/>
              </w:rPr>
              <w:t>盐山县经济开发区蒲洼城园区常惠线入城段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1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经营地址</w:t>
            </w:r>
          </w:p>
        </w:tc>
        <w:tc>
          <w:tcPr>
            <w:tcW w:w="9052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2"/>
                <w:szCs w:val="22"/>
              </w:rPr>
              <w:t>河北省沧州市盐山县正港开发区小微企业园1号楼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1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3" w:name="联系人"/>
            <w:r>
              <w:rPr>
                <w:sz w:val="22"/>
                <w:szCs w:val="22"/>
              </w:rPr>
              <w:t>毕彦腾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4" w:name="联系人手机"/>
            <w:r>
              <w:rPr>
                <w:sz w:val="22"/>
                <w:szCs w:val="22"/>
              </w:rPr>
              <w:t>15831728999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邮编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bookmarkStart w:id="5" w:name="联系人邮箱"/>
            <w:r>
              <w:rPr>
                <w:sz w:val="22"/>
                <w:szCs w:val="22"/>
              </w:rPr>
              <w:t>1071381725@qq.com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1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最高管理者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1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0170-2023-Q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审核领域</w:t>
            </w:r>
          </w:p>
        </w:tc>
        <w:tc>
          <w:tcPr>
            <w:tcW w:w="4493" w:type="dxa"/>
            <w:gridSpan w:val="7"/>
            <w:vAlign w:val="center"/>
          </w:tcPr>
          <w:p>
            <w:pPr>
              <w:rPr>
                <w:spacing w:val="-2"/>
                <w:sz w:val="22"/>
                <w:szCs w:val="22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■</w:t>
            </w:r>
            <w:bookmarkEnd w:id="9"/>
            <w:r>
              <w:rPr>
                <w:spacing w:val="-2"/>
                <w:sz w:val="22"/>
                <w:szCs w:val="22"/>
              </w:rPr>
              <w:t>QMS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</w:t>
            </w:r>
            <w:r>
              <w:rPr>
                <w:rFonts w:hint="eastAsia"/>
                <w:spacing w:val="-2"/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</w:t>
            </w:r>
            <w:bookmarkEnd w:id="10"/>
            <w:r>
              <w:rPr>
                <w:spacing w:val="-2"/>
                <w:sz w:val="22"/>
                <w:szCs w:val="22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</w:t>
            </w:r>
            <w:bookmarkEnd w:id="11"/>
            <w:r>
              <w:rPr>
                <w:spacing w:val="-2"/>
                <w:sz w:val="22"/>
                <w:szCs w:val="22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21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9052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21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审核方法</w:t>
            </w:r>
          </w:p>
        </w:tc>
        <w:tc>
          <w:tcPr>
            <w:tcW w:w="9052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21" w:type="dxa"/>
          </w:tcPr>
          <w:p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rFonts w:hint="eastAsia"/>
                <w:b/>
                <w:color w:val="0000FF"/>
                <w:sz w:val="22"/>
                <w:szCs w:val="22"/>
              </w:rPr>
              <w:t>远程审核方式</w:t>
            </w:r>
          </w:p>
        </w:tc>
        <w:tc>
          <w:tcPr>
            <w:tcW w:w="9052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2"/>
                <w:szCs w:val="22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21" w:type="dxa"/>
          </w:tcPr>
          <w:p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rFonts w:hint="eastAsia"/>
                <w:b/>
                <w:color w:val="0000FF"/>
                <w:sz w:val="22"/>
                <w:szCs w:val="22"/>
              </w:rPr>
              <w:t>远程审核资源</w:t>
            </w:r>
          </w:p>
        </w:tc>
        <w:tc>
          <w:tcPr>
            <w:tcW w:w="9052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2"/>
                <w:szCs w:val="22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21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审核目的</w:t>
            </w:r>
          </w:p>
        </w:tc>
        <w:tc>
          <w:tcPr>
            <w:tcW w:w="9052" w:type="dxa"/>
            <w:gridSpan w:val="12"/>
          </w:tcPr>
          <w:p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52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05" w:type="dxa"/>
            <w:gridSpan w:val="9"/>
            <w:vAlign w:val="center"/>
          </w:tcPr>
          <w:p>
            <w:pPr>
              <w:rPr>
                <w:sz w:val="22"/>
                <w:szCs w:val="22"/>
              </w:rPr>
            </w:pPr>
            <w:bookmarkStart w:id="24" w:name="审核范围"/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  <w:t>无缝钢管、螺旋钢管、直缝钢管、防腐保温管件、热浸塑钢管、钢衬四氟、PE、PP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>PO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  <w:t>钢管及配套管道管件的销售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代码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bookmarkStart w:id="25" w:name="专业代码"/>
            <w:r>
              <w:rPr>
                <w:sz w:val="22"/>
                <w:szCs w:val="22"/>
              </w:rPr>
              <w:t>29.11.04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2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52" w:type="dxa"/>
            <w:gridSpan w:val="12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bookmarkStart w:id="26" w:name="Q勾选Add1"/>
            <w:r>
              <w:rPr>
                <w:rFonts w:hint="eastAsia"/>
                <w:sz w:val="22"/>
                <w:szCs w:val="22"/>
              </w:rPr>
              <w:t>■</w:t>
            </w:r>
            <w:bookmarkEnd w:id="26"/>
            <w:r>
              <w:rPr>
                <w:rFonts w:hint="eastAsia"/>
                <w:sz w:val="22"/>
                <w:szCs w:val="22"/>
              </w:rPr>
              <w:t xml:space="preserve">GB/T19001-2016/ISO 9001:2015   </w:t>
            </w:r>
            <w:bookmarkStart w:id="2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7"/>
            <w:r>
              <w:rPr>
                <w:rFonts w:hint="eastAsia"/>
                <w:sz w:val="22"/>
                <w:szCs w:val="22"/>
              </w:rPr>
              <w:t>GB/T 50430-2017</w:t>
            </w:r>
            <w:bookmarkStart w:id="28" w:name="E勾选Add1"/>
            <w:r>
              <w:rPr>
                <w:rFonts w:hint="eastAsia"/>
                <w:sz w:val="22"/>
                <w:szCs w:val="22"/>
              </w:rPr>
              <w:t>□</w:t>
            </w:r>
            <w:bookmarkEnd w:id="28"/>
            <w:r>
              <w:rPr>
                <w:rFonts w:hint="eastAsia"/>
                <w:sz w:val="22"/>
                <w:szCs w:val="22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sz w:val="22"/>
                <w:szCs w:val="22"/>
              </w:rPr>
            </w:pPr>
            <w:bookmarkStart w:id="2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29"/>
            <w:r>
              <w:rPr>
                <w:rFonts w:hint="eastAsia"/>
                <w:sz w:val="22"/>
                <w:szCs w:val="22"/>
              </w:rPr>
              <w:t xml:space="preserve">GB/T45001-2020/ISO45001：2018标准 </w:t>
            </w:r>
            <w:bookmarkStart w:id="30" w:name="F勾选Add1"/>
            <w:r>
              <w:rPr>
                <w:rFonts w:hint="eastAsia"/>
                <w:sz w:val="22"/>
                <w:szCs w:val="22"/>
              </w:rPr>
              <w:t>□</w:t>
            </w:r>
            <w:bookmarkEnd w:id="30"/>
            <w:r>
              <w:rPr>
                <w:rFonts w:hint="eastAsia"/>
                <w:sz w:val="22"/>
                <w:szCs w:val="22"/>
              </w:rPr>
              <w:t xml:space="preserve">ISO 22000:2018 </w:t>
            </w:r>
          </w:p>
          <w:p>
            <w:pPr>
              <w:jc w:val="left"/>
              <w:rPr>
                <w:sz w:val="22"/>
                <w:szCs w:val="22"/>
              </w:rPr>
            </w:pPr>
            <w:bookmarkStart w:id="31" w:name="H勾选Add1"/>
            <w:r>
              <w:rPr>
                <w:rFonts w:hint="eastAsia"/>
                <w:sz w:val="22"/>
                <w:szCs w:val="22"/>
              </w:rPr>
              <w:t>□</w:t>
            </w:r>
            <w:bookmarkEnd w:id="31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危害分析与关键控制点（HACCP体系）认证补充要求1.0</w:t>
            </w:r>
          </w:p>
          <w:p>
            <w:pPr>
              <w:rPr>
                <w:sz w:val="22"/>
                <w:szCs w:val="22"/>
              </w:rPr>
            </w:pPr>
            <w:bookmarkStart w:id="32" w:name="EnMS勾选Add1"/>
            <w:r>
              <w:rPr>
                <w:rFonts w:hint="eastAsia"/>
                <w:sz w:val="22"/>
                <w:szCs w:val="22"/>
              </w:rPr>
              <w:t>□</w:t>
            </w:r>
            <w:bookmarkEnd w:id="32"/>
            <w:r>
              <w:rPr>
                <w:sz w:val="22"/>
                <w:szCs w:val="22"/>
              </w:rPr>
              <w:t>GB/T 2</w:t>
            </w:r>
            <w:r>
              <w:rPr>
                <w:rFonts w:hint="eastAsia"/>
                <w:sz w:val="22"/>
                <w:szCs w:val="22"/>
              </w:rPr>
              <w:t xml:space="preserve">3331-2020/ISO 50001:2018  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de-DE"/>
              </w:rPr>
              <w:t xml:space="preserve">□RB/T       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  <w:lang w:val="de-DE"/>
              </w:rPr>
              <w:t>行业认证标准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适用于受审核方的法律法规及其他要求； </w:t>
            </w: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认证合同</w:t>
            </w:r>
          </w:p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受审核方管理体系文件 (手册版本号：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A0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>
            <w:pPr>
              <w:pStyle w:val="2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21" w:type="dxa"/>
            <w:vMerge w:val="restart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审核日期</w:t>
            </w:r>
          </w:p>
        </w:tc>
        <w:tc>
          <w:tcPr>
            <w:tcW w:w="9052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2"/>
                <w:szCs w:val="22"/>
              </w:rPr>
              <w:t>2023年02月28日 上午至2023年02月28日 下午</w:t>
            </w:r>
            <w:bookmarkEnd w:id="33"/>
            <w:r>
              <w:rPr>
                <w:rFonts w:hint="eastAsia"/>
                <w:b/>
                <w:sz w:val="22"/>
                <w:szCs w:val="22"/>
              </w:rPr>
              <w:t>(共</w:t>
            </w:r>
            <w:bookmarkStart w:id="34" w:name="审核天数"/>
            <w:r>
              <w:rPr>
                <w:rFonts w:hint="eastAsia"/>
                <w:b/>
                <w:sz w:val="22"/>
                <w:szCs w:val="22"/>
              </w:rPr>
              <w:t>1.0</w:t>
            </w:r>
            <w:bookmarkEnd w:id="34"/>
            <w:r>
              <w:rPr>
                <w:rFonts w:hint="eastAsia"/>
                <w:b/>
                <w:sz w:val="22"/>
                <w:szCs w:val="22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1" w:type="dxa"/>
            <w:vMerge w:val="continue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052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1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审核语言</w:t>
            </w:r>
          </w:p>
        </w:tc>
        <w:tc>
          <w:tcPr>
            <w:tcW w:w="9052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de-DE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普通话</w:t>
            </w:r>
            <w:r>
              <w:rPr>
                <w:rFonts w:hint="eastAsia"/>
                <w:sz w:val="22"/>
                <w:szCs w:val="22"/>
                <w:lang w:val="de-DE"/>
              </w:rPr>
              <w:t>□</w:t>
            </w:r>
            <w:r>
              <w:rPr>
                <w:rFonts w:hint="eastAsia"/>
                <w:sz w:val="22"/>
                <w:szCs w:val="22"/>
              </w:rPr>
              <w:t>英语</w:t>
            </w:r>
            <w:r>
              <w:rPr>
                <w:rFonts w:hint="eastAsia"/>
                <w:sz w:val="22"/>
                <w:szCs w:val="22"/>
                <w:lang w:val="de-DE"/>
              </w:rPr>
              <w:t>□</w:t>
            </w:r>
            <w:r>
              <w:rPr>
                <w:rFonts w:hint="eastAsia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573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2"/>
                <w:szCs w:val="22"/>
                <w:lang w:val="de-DE"/>
              </w:rPr>
            </w:pPr>
            <w:r>
              <w:rPr>
                <w:rFonts w:hint="eastAsia"/>
                <w:sz w:val="22"/>
                <w:szCs w:val="22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组内身份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rFonts w:hint="eastAsia"/>
                <w:sz w:val="22"/>
                <w:szCs w:val="22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rFonts w:hint="eastAsia"/>
                <w:sz w:val="22"/>
                <w:szCs w:val="22"/>
              </w:rPr>
              <w:t>专业代码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363" w:type="dxa"/>
            <w:vAlign w:val="center"/>
          </w:tcPr>
          <w:p>
            <w:pPr>
              <w:rPr>
                <w:sz w:val="22"/>
                <w:szCs w:val="22"/>
                <w:lang w:val="de-DE"/>
              </w:rPr>
            </w:pPr>
            <w:r>
              <w:rPr>
                <w:rFonts w:hint="eastAsia"/>
                <w:sz w:val="22"/>
                <w:szCs w:val="22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组长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刘红杰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2021-N1QMS-1281767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29.11.04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15801270410</w:t>
            </w:r>
          </w:p>
        </w:tc>
        <w:tc>
          <w:tcPr>
            <w:tcW w:w="1363" w:type="dxa"/>
            <w:vAlign w:val="center"/>
          </w:tcPr>
          <w:p>
            <w:pPr>
              <w:rPr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573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1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组内身份</w:t>
            </w:r>
          </w:p>
        </w:tc>
        <w:tc>
          <w:tcPr>
            <w:tcW w:w="1105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专业代码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组内代码</w:t>
            </w:r>
          </w:p>
        </w:tc>
        <w:tc>
          <w:tcPr>
            <w:tcW w:w="1363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1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573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21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审核方案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2"/>
                <w:szCs w:val="22"/>
              </w:rPr>
            </w:pPr>
            <w:bookmarkStart w:id="35" w:name="审核派遣人"/>
            <w:r>
              <w:rPr>
                <w:sz w:val="22"/>
                <w:szCs w:val="22"/>
              </w:rPr>
              <w:t>李凤娟</w:t>
            </w:r>
            <w:bookmarkEnd w:id="35"/>
          </w:p>
        </w:tc>
        <w:tc>
          <w:tcPr>
            <w:tcW w:w="2196" w:type="dxa"/>
            <w:gridSpan w:val="5"/>
            <w:vMerge w:val="restart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签字及公章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521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gridSpan w:val="5"/>
            <w:vMerge w:val="continue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1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日期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2023.2.27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2023.2.24</w:t>
            </w:r>
          </w:p>
        </w:tc>
        <w:tc>
          <w:tcPr>
            <w:tcW w:w="2196" w:type="dxa"/>
            <w:gridSpan w:val="5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日期</w:t>
            </w:r>
          </w:p>
        </w:tc>
        <w:tc>
          <w:tcPr>
            <w:tcW w:w="1363" w:type="dxa"/>
            <w:vAlign w:val="center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2023.2.28</w:t>
            </w:r>
          </w:p>
        </w:tc>
      </w:tr>
    </w:tbl>
    <w:p/>
    <w:p>
      <w:r>
        <w:br w:type="page"/>
      </w: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570"/>
        <w:gridCol w:w="960"/>
        <w:gridCol w:w="3060"/>
        <w:gridCol w:w="2390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2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24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2023.2.28</w:t>
            </w:r>
          </w:p>
        </w:tc>
        <w:tc>
          <w:tcPr>
            <w:tcW w:w="15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7:30-8:00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全体</w:t>
            </w: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23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24" w:type="dxa"/>
            <w:tcBorders>
              <w:left w:val="single" w:color="auto" w:sz="8" w:space="0"/>
            </w:tcBorders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组织及其环境；相关方的需求和希望； 管理体系的范围；管理体系及其过程； 领导作用和承诺； 管理方针；组织的岗位、职责和权限； 应对风险和机遇的策划；目标和实现计划；变更的策划；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资源提供-内外部资源；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总则；分析和评价；管理评审；改进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总则；持续改进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。</w:t>
            </w:r>
          </w:p>
        </w:tc>
        <w:tc>
          <w:tcPr>
            <w:tcW w:w="239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4.1/4.2/4.3/4.4/5.1/5.2/5.3/6.1/6.2/6.3/7.1.1/9.1.1/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9.1.3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/9.3/10.1 /10.3</w:t>
            </w:r>
          </w:p>
        </w:tc>
        <w:tc>
          <w:tcPr>
            <w:tcW w:w="11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24" w:type="dxa"/>
            <w:tcBorders>
              <w:left w:val="single" w:color="auto" w:sz="8" w:space="0"/>
            </w:tcBorders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11:00-12:30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部门岗位、职责和权限； 部门目标和实现计划；人员；基础设施；运行环境；组织的知识；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能力；意识；沟通；成文信息；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外部提供的过程、产品和服务的控制；内部审核；</w:t>
            </w:r>
          </w:p>
        </w:tc>
        <w:tc>
          <w:tcPr>
            <w:tcW w:w="239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5.3/6.2/7.1.2/7.1.3/7.1.4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7.1.6/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7.2/7.3/7.4/7.5/8.4/</w:t>
            </w:r>
            <w:bookmarkStart w:id="36" w:name="_GoBack"/>
            <w:bookmarkEnd w:id="36"/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9.2</w:t>
            </w:r>
          </w:p>
        </w:tc>
        <w:tc>
          <w:tcPr>
            <w:tcW w:w="11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24" w:type="dxa"/>
            <w:tcBorders>
              <w:left w:val="single" w:color="auto" w:sz="8" w:space="0"/>
            </w:tcBorders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960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239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1224" w:type="dxa"/>
            <w:tcBorders>
              <w:left w:val="single" w:color="auto" w:sz="8" w:space="0"/>
            </w:tcBorders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12:30-15:45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组织的岗位、职责权限；目标；监视和测量资源；运行的策划和控制；产品和服务要求；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zh-CN"/>
              </w:rPr>
              <w:t>产品和服务的设计与开发，销售服务提供的控制、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标识和可追溯性；产品防护；顾客或外部供方财产；交付后活动；变更的控制；产品和服务的放行；不合格输出的控制；顾客满意度；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zh-CN"/>
              </w:rPr>
              <w:t>不符合与纠正措施</w:t>
            </w:r>
          </w:p>
        </w:tc>
        <w:tc>
          <w:tcPr>
            <w:tcW w:w="239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5.3/6.2/7.1.5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8.1/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8.3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8.5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8.6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/8.7/9.1.2/10.2</w:t>
            </w:r>
          </w:p>
        </w:tc>
        <w:tc>
          <w:tcPr>
            <w:tcW w:w="11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24" w:type="dxa"/>
            <w:tcBorders>
              <w:left w:val="single" w:color="auto" w:sz="8" w:space="0"/>
            </w:tcBorders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15:45-16:00</w:t>
            </w:r>
          </w:p>
        </w:tc>
        <w:tc>
          <w:tcPr>
            <w:tcW w:w="960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60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390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1224" w:type="dxa"/>
            <w:tcBorders>
              <w:left w:val="single" w:color="auto" w:sz="8" w:space="0"/>
            </w:tcBorders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vAlign w:val="top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90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5NzFjZWYyNTFiOTA5Yjg2ZDYzYmU2NjMxM2YyNWMifQ=="/>
  </w:docVars>
  <w:rsids>
    <w:rsidRoot w:val="00000000"/>
    <w:rsid w:val="4CDC6B79"/>
    <w:rsid w:val="5A5F4AE9"/>
    <w:rsid w:val="5DD14CB2"/>
    <w:rsid w:val="77E84C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1519</Words>
  <Characters>2213</Characters>
  <Lines>37</Lines>
  <Paragraphs>10</Paragraphs>
  <TotalTime>0</TotalTime>
  <ScaleCrop>false</ScaleCrop>
  <LinksUpToDate>false</LinksUpToDate>
  <CharactersWithSpaces>2274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大漠孤烟</cp:lastModifiedBy>
  <dcterms:modified xsi:type="dcterms:W3CDTF">2023-02-28T00:02:29Z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