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营销部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刘忠和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陈彦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明利红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3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6 </w:t>
            </w:r>
            <w:r>
              <w:t xml:space="preserve">日 </w:t>
            </w:r>
            <w:bookmarkEnd w:id="0"/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5.3岗位/职责/权限；6.2质量目标及其实现的策划；8.2产品和服务的要求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8.4外部提供供方的控制； 9.1.2顾客满意；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2020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；6.2目标及其达成的策划；8.1运行策划和控制；8.2应急准备和响应；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r>
              <w:rPr>
                <w:rFonts w:hint="eastAsia"/>
              </w:rPr>
              <w:t>岗位/职责 /权限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QES5.3</w:t>
            </w:r>
          </w:p>
        </w:tc>
        <w:tc>
          <w:tcPr>
            <w:tcW w:w="10004" w:type="dxa"/>
            <w:vAlign w:val="top"/>
          </w:tcPr>
          <w:p>
            <w:pPr>
              <w:spacing w:line="420" w:lineRule="exact"/>
              <w:rPr>
                <w:rFonts w:hint="eastAsia" w:ascii="宋体" w:hAnsi="宋体" w:eastAsia="宋体" w:cs="Times New Roman"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>查手册5.3：</w:t>
            </w:r>
          </w:p>
          <w:p>
            <w:pPr>
              <w:pStyle w:val="8"/>
              <w:rPr>
                <w:rFonts w:hint="eastAsia" w:ascii="宋体" w:hAnsi="宋体" w:eastAsia="宋体" w:cs="Times New Roman"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>营销部</w:t>
            </w:r>
            <w:r>
              <w:rPr>
                <w:rFonts w:hint="eastAsia" w:ascii="宋体" w:hAnsi="宋体" w:eastAsia="宋体" w:cs="Times New Roman"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>职责和权限：</w:t>
            </w:r>
          </w:p>
          <w:p>
            <w:pPr>
              <w:widowControl w:val="0"/>
              <w:numPr>
                <w:ilvl w:val="0"/>
                <w:numId w:val="1"/>
              </w:numPr>
              <w:spacing w:after="1" w:line="360" w:lineRule="auto"/>
              <w:ind w:left="11" w:right="0" w:hanging="11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负责原辅材料及产品配件、包装物品等的采购控制，确保采购物品达到安全库存和符合法规要求</w:t>
            </w:r>
          </w:p>
          <w:p>
            <w:pPr>
              <w:widowControl w:val="0"/>
              <w:numPr>
                <w:ilvl w:val="0"/>
                <w:numId w:val="1"/>
              </w:numPr>
              <w:spacing w:after="1" w:line="360" w:lineRule="auto"/>
              <w:ind w:left="11" w:right="0" w:hanging="11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负责设备、原料、辅料、备品备件以及清洁剂、消毒剂、灭鼠和灭虫药物等采购的归口管理，优选和控制供应商和承包</w:t>
            </w:r>
          </w:p>
          <w:p>
            <w:pPr>
              <w:widowControl w:val="0"/>
              <w:numPr>
                <w:ilvl w:val="0"/>
                <w:numId w:val="1"/>
              </w:numPr>
              <w:spacing w:after="1" w:line="360" w:lineRule="auto"/>
              <w:ind w:left="11" w:right="0" w:hanging="11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品检部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的指导下，对所有采购产品进行质量、安全验证并记录，验证不合格的采购产品退货或换货，更换的采购产品必须重新验证，准确标识采购产品的检验状态； </w:t>
            </w:r>
          </w:p>
          <w:p>
            <w:pPr>
              <w:widowControl w:val="0"/>
              <w:numPr>
                <w:ilvl w:val="0"/>
                <w:numId w:val="1"/>
              </w:numPr>
              <w:spacing w:after="1" w:line="360" w:lineRule="auto"/>
              <w:ind w:left="11" w:right="0" w:hanging="11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组织对原材料供应商的选择和评定、考核，建立和管理原材料供应商档案，协调供应商关系； </w:t>
            </w:r>
          </w:p>
          <w:p>
            <w:pPr>
              <w:widowControl w:val="0"/>
              <w:numPr>
                <w:ilvl w:val="0"/>
                <w:numId w:val="1"/>
              </w:numPr>
              <w:spacing w:after="1" w:line="360" w:lineRule="auto"/>
              <w:ind w:left="11" w:right="0" w:hanging="11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建档保管对采购产品的验证记录和标识记录，以便必要时进行追溯； </w:t>
            </w:r>
          </w:p>
          <w:p>
            <w:pPr>
              <w:widowControl w:val="0"/>
              <w:numPr>
                <w:ilvl w:val="0"/>
                <w:numId w:val="1"/>
              </w:numPr>
              <w:spacing w:after="1" w:line="360" w:lineRule="auto"/>
              <w:ind w:left="11" w:leftChars="0" w:right="0" w:hanging="11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收集原材料产销、价格信息、及时反馈； </w:t>
            </w:r>
          </w:p>
          <w:p>
            <w:pPr>
              <w:widowControl w:val="0"/>
              <w:numPr>
                <w:ilvl w:val="0"/>
                <w:numId w:val="1"/>
              </w:numPr>
              <w:spacing w:after="1" w:line="360" w:lineRule="auto"/>
              <w:ind w:left="11" w:leftChars="0" w:right="0" w:hanging="11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负责对客户投诉的问题进行反馈； </w:t>
            </w:r>
          </w:p>
          <w:p>
            <w:pPr>
              <w:widowControl w:val="0"/>
              <w:numPr>
                <w:ilvl w:val="0"/>
                <w:numId w:val="1"/>
              </w:numPr>
              <w:spacing w:after="1" w:line="360" w:lineRule="auto"/>
              <w:ind w:left="11" w:leftChars="0" w:right="0" w:hanging="11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负责食品的销售管理及新客户的开发维护；</w:t>
            </w:r>
          </w:p>
          <w:p>
            <w:pPr>
              <w:widowControl w:val="0"/>
              <w:numPr>
                <w:ilvl w:val="0"/>
                <w:numId w:val="1"/>
              </w:numPr>
              <w:spacing w:after="1" w:line="360" w:lineRule="auto"/>
              <w:ind w:left="11" w:leftChars="0" w:right="0" w:hanging="11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负责客户信息管理，客户需求的确定输入；</w:t>
            </w:r>
          </w:p>
          <w:p>
            <w:pPr>
              <w:widowControl w:val="0"/>
              <w:numPr>
                <w:ilvl w:val="0"/>
                <w:numId w:val="1"/>
              </w:numPr>
              <w:spacing w:after="1" w:line="360" w:lineRule="auto"/>
              <w:ind w:left="11" w:leftChars="0" w:right="0" w:hanging="11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负责顾客满意度调查并分析；</w:t>
            </w:r>
          </w:p>
          <w:p>
            <w:pPr>
              <w:widowControl w:val="0"/>
              <w:numPr>
                <w:ilvl w:val="0"/>
                <w:numId w:val="1"/>
              </w:numPr>
              <w:spacing w:after="1" w:line="360" w:lineRule="auto"/>
              <w:ind w:left="11" w:leftChars="0" w:right="0" w:hanging="11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本部门的环境影响评估及维护；</w:t>
            </w:r>
          </w:p>
          <w:p>
            <w:pPr>
              <w:widowControl w:val="0"/>
              <w:numPr>
                <w:ilvl w:val="0"/>
                <w:numId w:val="1"/>
              </w:numPr>
              <w:spacing w:after="1" w:line="360" w:lineRule="auto"/>
              <w:ind w:left="11" w:leftChars="0" w:right="0" w:hanging="11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关注本部门职业健康及危险源控制；</w:t>
            </w:r>
          </w:p>
          <w:p>
            <w:pPr>
              <w:widowControl w:val="0"/>
              <w:numPr>
                <w:ilvl w:val="0"/>
                <w:numId w:val="1"/>
              </w:numPr>
              <w:spacing w:after="1" w:line="360" w:lineRule="auto"/>
              <w:ind w:left="11" w:leftChars="0" w:right="0" w:hanging="11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 食品安全管理中识别本部门对食品安全的影响，并加以控制。</w:t>
            </w:r>
          </w:p>
          <w:p>
            <w:pPr>
              <w:widowControl w:val="0"/>
              <w:numPr>
                <w:ilvl w:val="0"/>
                <w:numId w:val="1"/>
              </w:numPr>
              <w:spacing w:after="1" w:line="360" w:lineRule="auto"/>
              <w:ind w:left="11" w:leftChars="0" w:right="0" w:hanging="11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负责物资运输，成品配送。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部门负责人能回答部门质量、环境、职业健康安全职责。</w:t>
            </w:r>
          </w:p>
          <w:p>
            <w:pPr>
              <w:spacing w:line="420" w:lineRule="exact"/>
              <w:rPr>
                <w:rFonts w:hint="default" w:ascii="宋体" w:hAnsi="宋体" w:eastAsia="宋体" w:cs="Times New Roman"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>——基本符合</w:t>
            </w:r>
            <w:r>
              <w:rPr>
                <w:rFonts w:hint="eastAsia" w:ascii="宋体" w:hAnsi="宋体" w:cs="Times New Roman"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/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160" w:type="dxa"/>
            <w:vAlign w:val="top"/>
          </w:tcPr>
          <w:p>
            <w:r>
              <w:rPr>
                <w:rFonts w:hint="eastAsia" w:ascii="Times New Roman" w:hAnsi="Times New Roman" w:eastAsia="宋体" w:cs="Times New Roman"/>
              </w:rPr>
              <w:t>目标及其达成的策划</w:t>
            </w:r>
          </w:p>
        </w:tc>
        <w:tc>
          <w:tcPr>
            <w:tcW w:w="960" w:type="dxa"/>
            <w:vAlign w:val="top"/>
          </w:tcPr>
          <w:p>
            <w:r>
              <w:rPr>
                <w:rFonts w:hint="eastAsia"/>
                <w:lang w:val="en-US" w:eastAsia="zh-CN"/>
              </w:rPr>
              <w:t>QES6.2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查见：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>2022年管理目标完成情况统计表；查见2022年管理目标均已达成。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>抽见2022年1-12月目标完成情况如下：</w:t>
            </w:r>
          </w:p>
          <w:p>
            <w:pPr>
              <w:pStyle w:val="8"/>
            </w:pPr>
            <w:r>
              <w:drawing>
                <wp:inline distT="0" distB="0" distL="114300" distR="114300">
                  <wp:extent cx="6212840" cy="1648460"/>
                  <wp:effectExtent l="0" t="0" r="10160" b="2540"/>
                  <wp:docPr id="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2840" cy="164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公司目标基本可测量。</w:t>
            </w:r>
          </w:p>
          <w:p>
            <w:pPr>
              <w:pStyle w:val="8"/>
              <w:rPr>
                <w:rFonts w:hint="default"/>
                <w:lang w:val="en-US" w:eastAsia="zh-CN"/>
              </w:rPr>
            </w:pPr>
          </w:p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基本符合</w:t>
            </w:r>
          </w:p>
          <w:p/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</w:rPr>
              <w:t>环境因素/危险源的辨识与评价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ES6.1.2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---策划的程序：《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环境因素识别与评价控制程序</w:t>
            </w:r>
            <w:r>
              <w:rPr>
                <w:rFonts w:hint="eastAsia"/>
                <w:lang w:val="en-US" w:eastAsia="zh-CN"/>
              </w:rPr>
              <w:t>》、《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危险源辨识与风险评估控制程序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查“</w:t>
            </w:r>
            <w:r>
              <w:rPr>
                <w:rFonts w:hint="eastAsia" w:ascii="Times New Roman" w:hAnsi="Times New Roman" w:eastAsia="宋体" w:cs="Times New Roman"/>
                <w:lang w:val="zh-CN" w:eastAsia="zh-CN"/>
              </w:rPr>
              <w:t>环境因素识别评估表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（部门：营销部）”20</w:t>
            </w:r>
            <w:r>
              <w:rPr>
                <w:rFonts w:hint="eastAsia" w:ascii="Times New Roman" w:hAnsi="Times New Roman" w:eastAsia="宋体" w:cs="Times New Roman"/>
                <w:lang w:val="zh-CN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年8月4日，编审批齐全，按活动区域识别环境因数，抽查如下：</w:t>
            </w:r>
          </w:p>
          <w:p>
            <w:r>
              <w:drawing>
                <wp:inline distT="0" distB="0" distL="114300" distR="114300">
                  <wp:extent cx="6211570" cy="2949575"/>
                  <wp:effectExtent l="0" t="0" r="11430" b="9525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1570" cy="294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</w:pPr>
          </w:p>
          <w:p>
            <w:pPr>
              <w:pStyle w:val="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-查“重要环境因素清单”20</w:t>
            </w:r>
            <w:r>
              <w:rPr>
                <w:rFonts w:hint="eastAsia"/>
                <w:lang w:val="zh-CN" w:eastAsia="zh-CN"/>
              </w:rPr>
              <w:t>22</w:t>
            </w:r>
            <w:r>
              <w:rPr>
                <w:rFonts w:hint="eastAsia"/>
                <w:lang w:val="en-US" w:eastAsia="zh-CN"/>
              </w:rPr>
              <w:t>年8月4日，编审批齐全，识别的重要环境因数涉及本部门的有：潜在火灾的发生；制定有相应的控制措施：《火灾应急预案》、管理方等案。</w:t>
            </w: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措施有效。</w:t>
            </w:r>
          </w:p>
          <w:p>
            <w:pPr>
              <w:pStyle w:val="8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-查“危 险 源 辨 识 评 价 表”20</w:t>
            </w:r>
            <w:r>
              <w:rPr>
                <w:rFonts w:hint="eastAsia"/>
                <w:lang w:val="zh-CN" w:eastAsia="zh-CN"/>
              </w:rPr>
              <w:t>22</w:t>
            </w:r>
            <w:r>
              <w:rPr>
                <w:rFonts w:hint="eastAsia"/>
                <w:lang w:val="en-US" w:eastAsia="zh-CN"/>
              </w:rPr>
              <w:t>年8月4日，编审批齐全，按作业活动识别潜在危险源，抽查如下：</w:t>
            </w:r>
          </w:p>
          <w:p>
            <w:pPr>
              <w:pStyle w:val="8"/>
            </w:pPr>
            <w:r>
              <w:drawing>
                <wp:inline distT="0" distB="0" distL="114300" distR="114300">
                  <wp:extent cx="6076950" cy="1231900"/>
                  <wp:effectExtent l="0" t="0" r="6350" b="0"/>
                  <wp:docPr id="1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-查“不可接受风险清单”共识别不可接受风险1项，涉及本部门的有：</w:t>
            </w:r>
            <w:r>
              <w:rPr>
                <w:rFonts w:hint="eastAsia"/>
              </w:rPr>
              <w:t>天燃气泄露、火灾</w:t>
            </w:r>
            <w:r>
              <w:rPr>
                <w:rFonts w:hint="eastAsia"/>
                <w:lang w:val="en-US" w:eastAsia="zh-CN"/>
              </w:rPr>
              <w:t>；制定有相应的控制措施：</w:t>
            </w:r>
            <w:r>
              <w:rPr>
                <w:rFonts w:hint="eastAsia"/>
              </w:rPr>
              <w:t>1、制定易燃等物品存储和使用管理规定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2、加强消防安全教育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3、加强消防安全检查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4、落实消防安全管理制度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5、应急预案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8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——基本符合。</w:t>
            </w:r>
          </w:p>
          <w:p>
            <w:pPr>
              <w:pStyle w:val="8"/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ES8.1</w:t>
            </w:r>
          </w:p>
        </w:tc>
        <w:tc>
          <w:tcPr>
            <w:tcW w:w="10004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---负责人介绍，本部门的环境、安全运行控制的按照主控部门的策划执行；主要内容包括：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-固废管控：营销部办公室配备有垃圾篓，下班后倾倒在指定处置点。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-废水管控：办公、生活废水通过市政管道排放。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-噪音管控：营销部办公室基本无噪音。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-废气管控：营销部办公室基本无废气。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-潜在火灾管控：下班关掉所有电源，如发现破损电源线路及时安排修理或更换，参加主控部门组织的火灾演练。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-意识管控：员工进行过环保、安全知识方面的培训。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---办公场所配备有空调、照明灯具、办公家具、垃圾筐、灭火器。办公场所整洁，未发现固废随意排放情况，办公及生活垃圾按要求放置，未发现有违规用电／用火情况，未发现有明显的安全隐患。</w:t>
            </w:r>
          </w:p>
          <w:p>
            <w:pPr>
              <w:widowControl/>
              <w:snapToGrid w:val="0"/>
              <w:spacing w:after="156" w:afterLines="50" w:line="480" w:lineRule="exact"/>
              <w:jc w:val="left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能够出示对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highlight w:val="none"/>
                <w:lang w:val="en-US" w:eastAsia="zh-CN" w:bidi="ar-SA"/>
              </w:rPr>
              <w:t>相关方对相关方施加影响的记录；对公司所有供方、以及客户均发放相关方告知书；见对相关方施加影响的记录台账；以及相关方告知书；对供应商、客户进行了环境、安全方面的告知。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——基本符合。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2160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</w:rPr>
              <w:t>产品和服务的要求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---策划的文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件《与顾客有关的控制程序》、《信息交流控制程序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通过面访、电话、微信等方式同客户保持沟</w:t>
            </w:r>
            <w:r>
              <w:rPr>
                <w:rFonts w:hint="eastAsia"/>
                <w:lang w:val="en-US" w:eastAsia="zh-CN"/>
              </w:rPr>
              <w:t>通。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公司与客户签订生猪屠宰、生猪分割包装协议，只负责生猪屠宰、生猪分割包装，至于屠宰后的销售由供应商负责。供应商自行销售。</w:t>
            </w:r>
          </w:p>
          <w:p>
            <w:pPr>
              <w:spacing w:before="240" w:after="2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查“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eastAsia="zh-CN"/>
              </w:rPr>
              <w:t>合同/订单登记表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”，主要的客户4家</w:t>
            </w:r>
            <w:r>
              <w:rPr>
                <w:rFonts w:hint="eastAsia"/>
                <w:lang w:val="en-US" w:eastAsia="zh-CN"/>
              </w:rPr>
              <w:t>，包括：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eastAsia="zh-CN"/>
              </w:rPr>
              <w:t>成都鑫酉旺商贸有限公司、南充市顺庆荣华肉类食品有限责任公司、重庆盛夫生物科技有限公司、四川枢食康食品有限公司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公司能够出具与以上客户签订的销售合同。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抽1：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跟踪抽查的销售合同及评审合同，如下：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 方: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eastAsia="zh-CN"/>
              </w:rPr>
              <w:t>成都鑫酉旺商贸有限公司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乙 方:四川龙盛源肉类加工有限公司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产品名称：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生猪肉分割包装：猪尾巴、苦胆、软喉、猪鞭、尿包等小货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产品质量、价格、配送及时、卫生等信息明确，双方签章日期齐全。合同签订日期：2022.1.1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跟踪核查其“合同（订单）评审表”，合同评审日期：2021.12.28；签合同前进行多部门评审会签。符合要求。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抽2：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另抽公司2022.5.26与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eastAsia="zh-CN"/>
              </w:rPr>
              <w:t>四川枢食康食品有限公司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签订的生猪肉分割包装：分割后的排骨、猪蹄、猪肉（五花肉、前胛、后腿等等）等等。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跟踪核查其“合同（订单）评审表”，合同评审日期：2021.12.28；签合同前进行多部门评审会签。符合要求。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销售</w:t>
            </w:r>
            <w:r>
              <w:rPr>
                <w:rFonts w:hint="eastAsia"/>
                <w:lang w:val="en-US" w:eastAsia="zh-CN"/>
              </w:rPr>
              <w:t>合同及其合同评审资料，均按规定记录保存。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——以上抽查合同内经营内容完全覆盖本次审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核范围：生猪屠宰、生猪肉分割包装。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</w:rPr>
              <w:t>外部提供供方的控制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Q8.4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---策划的文件《采购控制程序》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采购的主要产品：</w:t>
            </w:r>
            <w:r>
              <w:rPr>
                <w:rFonts w:hint="eastAsia" w:cs="Times New Roman"/>
                <w:lang w:val="en-US" w:eastAsia="zh-CN"/>
              </w:rPr>
              <w:t>生猪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。</w:t>
            </w:r>
            <w:r>
              <w:rPr>
                <w:rFonts w:hint="eastAsia" w:cs="Times New Roman"/>
                <w:lang w:val="en-US" w:eastAsia="zh-CN"/>
              </w:rPr>
              <w:t>包装盒为客户提供。公司对包装盒进行入库验收其数量、卫生等。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查“合格供方名</w:t>
            </w:r>
            <w:r>
              <w:rPr>
                <w:rFonts w:hint="eastAsia" w:cs="Times New Roman"/>
                <w:lang w:val="en-US" w:eastAsia="zh-CN"/>
              </w:rPr>
              <w:t>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”，登录有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  <w:lang w:eastAsia="zh-CN"/>
              </w:rPr>
              <w:t>刘应全、杨文科、郑洪林、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  <w:lang w:val="en-US" w:eastAsia="zh-CN"/>
              </w:rPr>
              <w:t>郑传富、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  <w:lang w:eastAsia="zh-CN"/>
              </w:rPr>
              <w:t>曾武阳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等合格供方，2022.</w:t>
            </w:r>
            <w:r>
              <w:rPr>
                <w:rFonts w:hint="eastAsia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eastAsia" w:cs="Times New Roman"/>
                <w:lang w:val="en-US" w:eastAsia="zh-CN"/>
              </w:rPr>
              <w:t>20；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进行初次评价。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3、能够出示公司与供应商签订的生猪协议。</w:t>
            </w:r>
          </w:p>
          <w:p>
            <w:pPr>
              <w:numPr>
                <w:numId w:val="0"/>
              </w:numPr>
              <w:rPr>
                <w:rFonts w:hint="eastAsia" w:cs="Times New Roman"/>
                <w:highlight w:val="gree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抽</w:t>
            </w: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查</w:t>
            </w:r>
            <w:r>
              <w:rPr>
                <w:rFonts w:hint="eastAsia" w:cs="Times New Roman"/>
                <w:highlight w:val="green"/>
                <w:lang w:val="en-US" w:eastAsia="zh-CN"/>
              </w:rPr>
              <w:t>1：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highlight w:val="green"/>
                <w:lang w:val="en-US" w:eastAsia="zh-CN"/>
              </w:rPr>
            </w:pPr>
            <w:r>
              <w:rPr>
                <w:rFonts w:hint="eastAsia" w:cs="Times New Roman"/>
                <w:highlight w:val="green"/>
                <w:lang w:val="en-US" w:eastAsia="zh-CN"/>
              </w:rPr>
              <w:t>公司</w:t>
            </w: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  <w:highlight w:val="green"/>
                <w:lang w:eastAsia="zh-CN"/>
              </w:rPr>
              <w:t>刘应全</w:t>
            </w: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的采购合同，采购产品：</w:t>
            </w:r>
            <w:r>
              <w:rPr>
                <w:rFonts w:hint="eastAsia" w:cs="Times New Roman"/>
                <w:highlight w:val="green"/>
                <w:lang w:val="en-US" w:eastAsia="zh-CN"/>
              </w:rPr>
              <w:t>生猪</w:t>
            </w: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；</w:t>
            </w:r>
          </w:p>
          <w:p>
            <w:pPr>
              <w:rPr>
                <w:rFonts w:hint="default" w:ascii="Times New Roman" w:hAnsi="Times New Roman" w:cs="Times New Roman"/>
                <w:highlight w:val="green"/>
                <w:lang w:val="en-US" w:eastAsia="zh-CN"/>
              </w:rPr>
            </w:pPr>
            <w:r>
              <w:rPr>
                <w:rFonts w:hint="eastAsia" w:cs="Times New Roman"/>
                <w:highlight w:val="green"/>
                <w:lang w:val="en-US" w:eastAsia="zh-CN"/>
              </w:rPr>
              <w:t>产品名称：生猪</w:t>
            </w:r>
          </w:p>
          <w:p>
            <w:pP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产品质量、交付</w:t>
            </w:r>
            <w:r>
              <w:rPr>
                <w:rFonts w:hint="eastAsia" w:cs="Times New Roman"/>
                <w:highlight w:val="green"/>
                <w:lang w:val="en-US" w:eastAsia="zh-CN"/>
              </w:rPr>
              <w:t>及时性、履约能力、产品质量保证能力、售后服务</w:t>
            </w: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等采购信息明确，双方签章日期齐全。</w:t>
            </w:r>
          </w:p>
          <w:p>
            <w:pP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</w:pPr>
          </w:p>
          <w:p>
            <w:pPr>
              <w:rPr>
                <w:rFonts w:hint="eastAsia" w:cs="Times New Roman"/>
                <w:highlight w:val="gree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-抽</w:t>
            </w:r>
            <w:r>
              <w:rPr>
                <w:rFonts w:hint="eastAsia" w:cs="Times New Roman"/>
                <w:highlight w:val="green"/>
                <w:lang w:val="en-US" w:eastAsia="zh-CN"/>
              </w:rPr>
              <w:t>2：</w:t>
            </w:r>
          </w:p>
          <w:p>
            <w:pP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</w:pPr>
            <w:r>
              <w:rPr>
                <w:rFonts w:hint="eastAsia" w:cs="Times New Roman"/>
                <w:highlight w:val="green"/>
                <w:lang w:val="en-US" w:eastAsia="zh-CN"/>
              </w:rPr>
              <w:t>2022.1.1公司与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  <w:highlight w:val="green"/>
                <w:lang w:eastAsia="zh-CN"/>
              </w:rPr>
              <w:t>杨文科</w:t>
            </w: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的采购合同，采购产品：</w:t>
            </w:r>
            <w:r>
              <w:rPr>
                <w:rFonts w:hint="eastAsia" w:cs="Times New Roman"/>
                <w:highlight w:val="green"/>
                <w:lang w:val="en-US" w:eastAsia="zh-CN"/>
              </w:rPr>
              <w:t>生猪</w:t>
            </w: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产品、质量、交付等采购信息明确，双方签章日期齐全。</w:t>
            </w:r>
          </w:p>
          <w:p>
            <w:pP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</w:pPr>
          </w:p>
          <w:p>
            <w:pPr>
              <w:rPr>
                <w:rFonts w:hint="eastAsia" w:cs="Times New Roman"/>
                <w:highlight w:val="gree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--抽</w:t>
            </w:r>
            <w:r>
              <w:rPr>
                <w:rFonts w:hint="eastAsia" w:cs="Times New Roman"/>
                <w:highlight w:val="green"/>
                <w:lang w:val="en-US" w:eastAsia="zh-CN"/>
              </w:rPr>
              <w:t>3：</w:t>
            </w:r>
          </w:p>
          <w:p>
            <w:pP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</w:pPr>
            <w:r>
              <w:rPr>
                <w:rFonts w:hint="eastAsia" w:cs="Times New Roman"/>
                <w:highlight w:val="green"/>
                <w:lang w:val="en-US" w:eastAsia="zh-CN"/>
              </w:rPr>
              <w:t>公司与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sz w:val="24"/>
                <w:szCs w:val="24"/>
                <w:lang w:eastAsia="zh-CN"/>
              </w:rPr>
              <w:t>郑洪林</w:t>
            </w: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的采购合同，采购产品：</w:t>
            </w:r>
            <w:r>
              <w:rPr>
                <w:rFonts w:hint="eastAsia" w:cs="Times New Roman"/>
                <w:highlight w:val="green"/>
                <w:lang w:val="en-US" w:eastAsia="zh-CN"/>
              </w:rPr>
              <w:t>生猪</w:t>
            </w: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产品、质量、交付等采购信息明确，双方签章日期齐全。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公司对供应商均能提供有相应的“供方评价记录表”2022.9.20，主要的评价内容包括供应能力、产品质量、交货及时、售后等方面的评价：均评审合同，纳入合格供方清单。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4、以上生猪核查其采购申请、生猪进厂验收记录等均能提供。对客户提供的包装盒均进行了验收。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ES8.2</w:t>
            </w:r>
          </w:p>
        </w:tc>
        <w:tc>
          <w:tcPr>
            <w:tcW w:w="10004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能出具公司应急预案演练计划；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部门参与了主控部门</w:t>
            </w:r>
            <w:r>
              <w:rPr>
                <w:rFonts w:hint="eastAsia" w:cs="Times New Roman"/>
                <w:lang w:val="en-US" w:eastAsia="zh-CN"/>
              </w:rPr>
              <w:t>2022.9.6开展的触电应急演练，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有效果评价。</w:t>
            </w: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部门参与了主控部门</w:t>
            </w:r>
            <w:r>
              <w:rPr>
                <w:rFonts w:hint="eastAsia" w:cs="Times New Roman"/>
                <w:lang w:val="en-US" w:eastAsia="zh-CN"/>
              </w:rPr>
              <w:t>2022.10.25开展的火灾应急演练，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有效果评价。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顾客满意；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Q9.1.2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查“顾客满意度调查表”及“顾客满意度调查分析报告”，</w:t>
            </w:r>
            <w:r>
              <w:rPr>
                <w:rFonts w:hint="eastAsia"/>
                <w:highlight w:val="none"/>
              </w:rPr>
              <w:t>调查日期：</w:t>
            </w:r>
            <w:r>
              <w:rPr>
                <w:rFonts w:hint="eastAsia"/>
                <w:highlight w:val="none"/>
                <w:lang w:eastAsia="zh-CN"/>
              </w:rPr>
              <w:t>2022-</w:t>
            </w:r>
            <w:r>
              <w:rPr>
                <w:rFonts w:hint="eastAsia"/>
                <w:highlight w:val="none"/>
                <w:lang w:val="en-US" w:eastAsia="zh-CN"/>
              </w:rPr>
              <w:t>10-11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eastAsia="zh-CN"/>
              </w:rPr>
              <w:t>成都鑫酉旺商贸有限公司、南充市顺庆荣华肉类食品有限责任公司、重庆盛夫生物科技有限公司、四川枢食康食品有限公司</w:t>
            </w:r>
            <w:r>
              <w:rPr>
                <w:rFonts w:hint="eastAsia"/>
                <w:highlight w:val="none"/>
                <w:lang w:val="en-US" w:eastAsia="zh-CN"/>
              </w:rPr>
              <w:t>等进行了调查，发放4份；回收4份。综合得分98分；</w:t>
            </w:r>
          </w:p>
          <w:p>
            <w:pPr>
              <w:pStyle w:val="8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D2742"/>
    <w:multiLevelType w:val="singleLevel"/>
    <w:tmpl w:val="1EDD274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6A7A0B0"/>
    <w:multiLevelType w:val="singleLevel"/>
    <w:tmpl w:val="76A7A0B0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0155351"/>
    <w:rsid w:val="02906F11"/>
    <w:rsid w:val="03522419"/>
    <w:rsid w:val="05EC26B0"/>
    <w:rsid w:val="06402A94"/>
    <w:rsid w:val="06C96872"/>
    <w:rsid w:val="07852DBD"/>
    <w:rsid w:val="08253C58"/>
    <w:rsid w:val="0AED7401"/>
    <w:rsid w:val="0D904269"/>
    <w:rsid w:val="0DB96917"/>
    <w:rsid w:val="0F31338F"/>
    <w:rsid w:val="0FD7442D"/>
    <w:rsid w:val="102D4106"/>
    <w:rsid w:val="13B90D1C"/>
    <w:rsid w:val="149C69A2"/>
    <w:rsid w:val="150A60E0"/>
    <w:rsid w:val="1776627E"/>
    <w:rsid w:val="184B6451"/>
    <w:rsid w:val="19593CDE"/>
    <w:rsid w:val="1A0744A6"/>
    <w:rsid w:val="1B097409"/>
    <w:rsid w:val="1F0028D1"/>
    <w:rsid w:val="20772684"/>
    <w:rsid w:val="21A06B66"/>
    <w:rsid w:val="22832DB5"/>
    <w:rsid w:val="23517B9F"/>
    <w:rsid w:val="24422863"/>
    <w:rsid w:val="24625F84"/>
    <w:rsid w:val="2B1C518D"/>
    <w:rsid w:val="2BF37A45"/>
    <w:rsid w:val="2E1A575D"/>
    <w:rsid w:val="2E374FCC"/>
    <w:rsid w:val="2E3F4BE7"/>
    <w:rsid w:val="2F5C76FC"/>
    <w:rsid w:val="2F9E23BE"/>
    <w:rsid w:val="2FB2753E"/>
    <w:rsid w:val="30741715"/>
    <w:rsid w:val="308474AF"/>
    <w:rsid w:val="3103697D"/>
    <w:rsid w:val="318A2BFA"/>
    <w:rsid w:val="323E5792"/>
    <w:rsid w:val="33B52B1A"/>
    <w:rsid w:val="33CD6DCE"/>
    <w:rsid w:val="3451671F"/>
    <w:rsid w:val="366A2FFA"/>
    <w:rsid w:val="37AC1E14"/>
    <w:rsid w:val="3A502507"/>
    <w:rsid w:val="3BE92C13"/>
    <w:rsid w:val="404219A0"/>
    <w:rsid w:val="41D1217F"/>
    <w:rsid w:val="420A2F7A"/>
    <w:rsid w:val="43F250F3"/>
    <w:rsid w:val="46070B62"/>
    <w:rsid w:val="463211F6"/>
    <w:rsid w:val="482A346A"/>
    <w:rsid w:val="484C07B1"/>
    <w:rsid w:val="48E57894"/>
    <w:rsid w:val="493E3092"/>
    <w:rsid w:val="4A04507A"/>
    <w:rsid w:val="4AFF1DFB"/>
    <w:rsid w:val="4BCE3AD9"/>
    <w:rsid w:val="4CD11285"/>
    <w:rsid w:val="4E465CA3"/>
    <w:rsid w:val="4EBB48DA"/>
    <w:rsid w:val="506D7517"/>
    <w:rsid w:val="509A2907"/>
    <w:rsid w:val="52552958"/>
    <w:rsid w:val="52691F60"/>
    <w:rsid w:val="52914046"/>
    <w:rsid w:val="53FC752F"/>
    <w:rsid w:val="54B41BB8"/>
    <w:rsid w:val="561C5C04"/>
    <w:rsid w:val="56B153BE"/>
    <w:rsid w:val="57035E61"/>
    <w:rsid w:val="58314691"/>
    <w:rsid w:val="585B665C"/>
    <w:rsid w:val="5AC65FAE"/>
    <w:rsid w:val="5BA858A7"/>
    <w:rsid w:val="5D2544BA"/>
    <w:rsid w:val="5EF37781"/>
    <w:rsid w:val="601E082E"/>
    <w:rsid w:val="60F5158E"/>
    <w:rsid w:val="61E37EAA"/>
    <w:rsid w:val="62DC44FF"/>
    <w:rsid w:val="63F47135"/>
    <w:rsid w:val="6AEA1A38"/>
    <w:rsid w:val="6B881251"/>
    <w:rsid w:val="6C156F89"/>
    <w:rsid w:val="6D415B5B"/>
    <w:rsid w:val="6E0A010B"/>
    <w:rsid w:val="6E0C6169"/>
    <w:rsid w:val="6E364D3C"/>
    <w:rsid w:val="6EA346F6"/>
    <w:rsid w:val="70C745CA"/>
    <w:rsid w:val="7127308D"/>
    <w:rsid w:val="71FB452B"/>
    <w:rsid w:val="72D354A8"/>
    <w:rsid w:val="732B37E3"/>
    <w:rsid w:val="73762F4A"/>
    <w:rsid w:val="742427A5"/>
    <w:rsid w:val="743D1DA1"/>
    <w:rsid w:val="7879264D"/>
    <w:rsid w:val="799043B8"/>
    <w:rsid w:val="79DE605C"/>
    <w:rsid w:val="7A831561"/>
    <w:rsid w:val="7BCE0F02"/>
    <w:rsid w:val="7C9F5ED4"/>
    <w:rsid w:val="7DDD542C"/>
    <w:rsid w:val="7F8D0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2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2786</Words>
  <Characters>3010</Characters>
  <Lines>1</Lines>
  <Paragraphs>1</Paragraphs>
  <TotalTime>8</TotalTime>
  <ScaleCrop>false</ScaleCrop>
  <LinksUpToDate>false</LinksUpToDate>
  <CharactersWithSpaces>3087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mlh52058</cp:lastModifiedBy>
  <dcterms:modified xsi:type="dcterms:W3CDTF">2023-03-06T08:40:52Z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7DFCEC2663F8433AAB0395BE4DD38EEB</vt:lpwstr>
  </property>
  <property fmtid="{D5CDD505-2E9C-101B-9397-08002B2CF9AE}" pid="3" name="KSOProductBuildVer">
    <vt:lpwstr>2052-11.1.0.13703</vt:lpwstr>
  </property>
</Properties>
</file>