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0057-2023-QEO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重庆楼兴物业管理有限公司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重庆楼兴物业管理有限公司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重庆市北碚区云华路200号3-8-3</w:t>
            </w:r>
            <w:bookmarkEnd w:id="6"/>
          </w:p>
        </w:tc>
        <w:tc>
          <w:tcPr>
            <w:tcW w:w="1242" w:type="dxa"/>
            <w:vMerge w:val="restart"/>
            <w:vAlign w:val="center"/>
          </w:tcPr>
          <w:p>
            <w:r>
              <w:rPr>
                <w:rFonts w:hint="eastAsia"/>
              </w:rPr>
              <w:t>邮编</w:t>
            </w:r>
          </w:p>
        </w:tc>
        <w:tc>
          <w:tcPr>
            <w:tcW w:w="1771" w:type="dxa"/>
          </w:tcPr>
          <w:p>
            <w:bookmarkStart w:id="7" w:name="注册邮编"/>
            <w:r>
              <w:t>400711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重庆市北碚区体育中心缙虹路</w:t>
            </w:r>
            <w:bookmarkEnd w:id="8"/>
          </w:p>
        </w:tc>
        <w:tc>
          <w:tcPr>
            <w:tcW w:w="1242" w:type="dxa"/>
            <w:vMerge w:val="continue"/>
            <w:vAlign w:val="center"/>
          </w:tcPr>
          <w:p/>
        </w:tc>
        <w:tc>
          <w:tcPr>
            <w:tcW w:w="1771" w:type="dxa"/>
          </w:tcPr>
          <w:p>
            <w:bookmarkStart w:id="9" w:name="办公邮编"/>
            <w:r>
              <w:t>400711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李春红</w:t>
            </w:r>
            <w:bookmarkEnd w:id="10"/>
          </w:p>
        </w:tc>
        <w:tc>
          <w:tcPr>
            <w:tcW w:w="1313" w:type="dxa"/>
            <w:vAlign w:val="center"/>
          </w:tcPr>
          <w:p>
            <w:r>
              <w:rPr>
                <w:rFonts w:hint="eastAsia"/>
              </w:rPr>
              <w:t>电话.</w:t>
            </w:r>
          </w:p>
        </w:tc>
        <w:tc>
          <w:tcPr>
            <w:tcW w:w="2180" w:type="dxa"/>
            <w:vAlign w:val="center"/>
          </w:tcPr>
          <w:p>
            <w:bookmarkStart w:id="11" w:name="联系人电话"/>
            <w:r>
              <w:t>023-68298005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王万均</w:t>
            </w:r>
            <w:bookmarkEnd w:id="13"/>
          </w:p>
        </w:tc>
        <w:tc>
          <w:tcPr>
            <w:tcW w:w="1313" w:type="dxa"/>
            <w:vAlign w:val="center"/>
          </w:tcPr>
          <w:p>
            <w:r>
              <w:rPr>
                <w:rFonts w:hint="eastAsia"/>
              </w:rPr>
              <w:t>管理者代表</w:t>
            </w:r>
          </w:p>
        </w:tc>
        <w:tc>
          <w:tcPr>
            <w:tcW w:w="2180" w:type="dxa"/>
          </w:tcPr>
          <w:p>
            <w:bookmarkStart w:id="14" w:name="管理者代表"/>
            <w:r>
              <w:t>李春红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宋体" w:hAnsi="宋体"/>
                <w:szCs w:val="21"/>
              </w:rPr>
            </w:pPr>
            <w:r>
              <w:rPr>
                <w:rFonts w:hint="eastAsia" w:ascii="宋体" w:hAnsi="宋体"/>
                <w:szCs w:val="21"/>
              </w:rPr>
              <w:t>物业管理服务流程：</w:t>
            </w:r>
          </w:p>
          <w:p>
            <w:pPr>
              <w:rPr>
                <w:rFonts w:ascii="宋体" w:hAnsi="宋体"/>
                <w:szCs w:val="21"/>
              </w:rPr>
            </w:pPr>
            <w:r>
              <w:rPr>
                <w:rFonts w:hint="eastAsia" w:ascii="宋体" w:hAnsi="宋体"/>
                <w:szCs w:val="21"/>
              </w:rPr>
              <w:t>签订合同——确定物业管理服务区域——安排物业管理服务人员——分配物业管理区域——进行物业管理服务。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2023年03月07日 上午至2023年03月07日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eastAsia="zh-CN"/>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rPr>
              <w:t>审核地址（含远程）</w:t>
            </w:r>
          </w:p>
        </w:tc>
        <w:tc>
          <w:tcPr>
            <w:tcW w:w="7831" w:type="dxa"/>
            <w:gridSpan w:val="3"/>
            <w:tcMar>
              <w:left w:w="113" w:type="dxa"/>
            </w:tcMar>
          </w:tcPr>
          <w:p>
            <w:pPr>
              <w:rPr>
                <w:rFonts w:hint="eastAsia" w:ascii="宋体" w:eastAsia="宋体"/>
                <w:b/>
                <w:color w:val="0000FF"/>
                <w:szCs w:val="21"/>
                <w:lang w:val="en-US" w:eastAsia="zh-CN"/>
              </w:rPr>
            </w:pPr>
            <w:r>
              <w:rPr>
                <w:rFonts w:ascii="宋体" w:hAnsi="宋体" w:cs="宋体"/>
                <w:color w:val="000000"/>
                <w:kern w:val="0"/>
                <w:szCs w:val="21"/>
              </w:rPr>
              <w:t>重庆市北碚区体育中心缙虹路</w:t>
            </w:r>
            <w:r>
              <w:rPr>
                <w:rFonts w:hint="eastAsia" w:ascii="宋体" w:hAnsi="宋体" w:cs="宋体"/>
                <w:color w:val="000000"/>
                <w:kern w:val="0"/>
                <w:szCs w:val="21"/>
                <w:lang w:val="en-US" w:eastAsia="zh-CN"/>
              </w:rPr>
              <w:t>/</w:t>
            </w:r>
            <w:r>
              <w:rPr>
                <w:rFonts w:hint="eastAsia"/>
                <w:color w:val="auto"/>
                <w:highlight w:val="none"/>
              </w:rPr>
              <w:t>重庆市北碚区</w:t>
            </w:r>
            <w:r>
              <w:rPr>
                <w:rFonts w:hint="eastAsia"/>
                <w:color w:val="auto"/>
                <w:highlight w:val="none"/>
                <w:lang w:eastAsia="zh-CN"/>
              </w:rPr>
              <w:t>公园村</w:t>
            </w:r>
            <w:r>
              <w:rPr>
                <w:rFonts w:hint="eastAsia"/>
                <w:color w:val="auto"/>
                <w:highlight w:val="none"/>
                <w:lang w:val="en-US" w:eastAsia="zh-CN"/>
              </w:rPr>
              <w:t>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Q：物业管理服务</w:t>
            </w:r>
          </w:p>
          <w:p>
            <w:r>
              <w:t>E：物业管理服务所涉及场所的相关环境管理活动</w:t>
            </w:r>
          </w:p>
          <w:p>
            <w:r>
              <w:t>O：物业管理服务所涉及场所的相关职业健康安全管理活动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Q：35.15.00</w:t>
            </w:r>
          </w:p>
          <w:p>
            <w:r>
              <w:t>E：35.15.00</w:t>
            </w:r>
          </w:p>
          <w:p>
            <w:r>
              <w:t>O：35.15.00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val="de-DE"/>
              </w:rPr>
              <w:t>■</w:t>
            </w:r>
            <w:r>
              <w:rPr>
                <w:rFonts w:hint="eastAsia"/>
              </w:rPr>
              <w:t>受审核组织没有设计开发的责任</w:t>
            </w:r>
          </w:p>
          <w:p>
            <w:r>
              <w:rPr>
                <w:rFonts w:hint="eastAsia"/>
                <w:lang w:val="de-DE"/>
              </w:rPr>
              <w:t>■</w:t>
            </w:r>
            <w:r>
              <w:rPr>
                <w:rFonts w:hint="eastAsia"/>
              </w:rPr>
              <w:t>受审核组织没有设计开发的能力</w:t>
            </w:r>
          </w:p>
          <w:p>
            <w:r>
              <w:rPr>
                <w:rFonts w:hint="eastAsia"/>
                <w:lang w:val="de-DE"/>
              </w:rPr>
              <w:t>■</w:t>
            </w:r>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2019年9月10日</w:t>
            </w:r>
          </w:p>
          <w:p>
            <w:pPr>
              <w:rPr>
                <w:rFonts w:ascii="Times New Roman" w:hAnsi="Times New Roman" w:eastAsia="宋体" w:cs="Times New Roman"/>
                <w:kern w:val="2"/>
                <w:sz w:val="21"/>
                <w:szCs w:val="24"/>
                <w:lang w:val="en-US" w:eastAsia="zh-CN" w:bidi="ar-SA"/>
              </w:rPr>
            </w:pPr>
          </w:p>
        </w:tc>
        <w:tc>
          <w:tcPr>
            <w:tcW w:w="1883" w:type="dxa"/>
            <w:vAlign w:val="center"/>
          </w:tcPr>
          <w:p>
            <w:pPr>
              <w:rPr>
                <w:rFonts w:ascii="Times New Roman" w:hAnsi="Times New Roman" w:eastAsia="宋体" w:cs="Times New Roman"/>
                <w:kern w:val="2"/>
                <w:sz w:val="21"/>
                <w:szCs w:val="24"/>
                <w:lang w:val="en-US" w:eastAsia="zh-CN" w:bidi="ar-SA"/>
              </w:rPr>
            </w:pPr>
            <w:r>
              <w:rPr>
                <w:rFonts w:hint="eastAsia"/>
              </w:rPr>
              <w:t>管理体系运行已超过3个月</w:t>
            </w:r>
          </w:p>
        </w:tc>
        <w:tc>
          <w:tcPr>
            <w:tcW w:w="3215" w:type="dxa"/>
            <w:vAlign w:val="center"/>
          </w:tcPr>
          <w:p>
            <w:pPr>
              <w:rPr>
                <w:rFonts w:ascii="Times New Roman" w:hAnsi="Times New Roman" w:eastAsia="宋体" w:cs="Times New Roman"/>
                <w:kern w:val="2"/>
                <w:sz w:val="21"/>
                <w:szCs w:val="24"/>
                <w:lang w:val="en-US" w:eastAsia="zh-CN" w:bidi="ar-SA"/>
              </w:rPr>
            </w:pPr>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ascii="Times New Roman" w:hAnsi="Times New Roman" w:eastAsia="宋体" w:cs="Times New Roman"/>
                <w:kern w:val="2"/>
                <w:sz w:val="21"/>
                <w:szCs w:val="24"/>
                <w:lang w:val="en-US" w:eastAsia="zh-CN" w:bidi="ar-SA"/>
              </w:rPr>
            </w:pPr>
            <w:r>
              <w:rPr>
                <w:rFonts w:hint="eastAsia"/>
              </w:rPr>
              <w:t>2022年04月18日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lang w:val="en-US" w:eastAsia="zh-CN"/>
              </w:rPr>
            </w:pPr>
            <w:r>
              <w:rPr>
                <w:rFonts w:hint="eastAsia" w:ascii="Times New Roman" w:hAnsi="Times New Roman" w:eastAsia="宋体" w:cs="Times New Roman"/>
              </w:rPr>
              <w:t>（初审除外）</w:t>
            </w:r>
          </w:p>
        </w:tc>
        <w:tc>
          <w:tcPr>
            <w:tcW w:w="321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有效至2023年03月08日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391"/>
        <w:gridCol w:w="1670"/>
        <w:gridCol w:w="977"/>
        <w:gridCol w:w="1576"/>
        <w:gridCol w:w="196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391" w:type="dxa"/>
            <w:shd w:val="clear" w:color="auto" w:fill="F3F3F3"/>
            <w:tcMar>
              <w:left w:w="57" w:type="dxa"/>
              <w:right w:w="57" w:type="dxa"/>
            </w:tcMar>
          </w:tcPr>
          <w:p>
            <w:r>
              <w:rPr>
                <w:rFonts w:hint="eastAsia"/>
              </w:rPr>
              <w:t>组织名称及注册场所地址</w:t>
            </w:r>
          </w:p>
        </w:tc>
        <w:tc>
          <w:tcPr>
            <w:tcW w:w="1670" w:type="dxa"/>
            <w:shd w:val="clear" w:color="auto" w:fill="F3F3F3"/>
            <w:tcMar>
              <w:left w:w="57" w:type="dxa"/>
              <w:right w:w="57" w:type="dxa"/>
            </w:tcMar>
          </w:tcPr>
          <w:p>
            <w:r>
              <w:rPr>
                <w:rFonts w:hint="eastAsia"/>
              </w:rPr>
              <w:t>经营场所的地址</w:t>
            </w:r>
          </w:p>
          <w:p>
            <w:r>
              <w:rPr>
                <w:rFonts w:hint="eastAsia"/>
              </w:rPr>
              <w:t>（多现场和临时现场）</w:t>
            </w:r>
          </w:p>
        </w:tc>
        <w:tc>
          <w:tcPr>
            <w:tcW w:w="977" w:type="dxa"/>
            <w:shd w:val="clear" w:color="auto" w:fill="F3F3F3"/>
            <w:tcMar>
              <w:left w:w="57" w:type="dxa"/>
              <w:right w:w="57" w:type="dxa"/>
            </w:tcMar>
          </w:tcPr>
          <w:p>
            <w:r>
              <w:rPr>
                <w:rFonts w:hint="eastAsia"/>
              </w:rPr>
              <w:t>员工人数</w:t>
            </w:r>
          </w:p>
        </w:tc>
        <w:tc>
          <w:tcPr>
            <w:tcW w:w="1576" w:type="dxa"/>
            <w:shd w:val="clear" w:color="auto" w:fill="F3F3F3"/>
            <w:tcMar>
              <w:left w:w="57" w:type="dxa"/>
              <w:right w:w="57" w:type="dxa"/>
            </w:tcMar>
          </w:tcPr>
          <w:p>
            <w:r>
              <w:rPr>
                <w:rFonts w:hint="eastAsia"/>
              </w:rPr>
              <w:t>审核范围（产品和过程）</w:t>
            </w:r>
          </w:p>
          <w:p/>
          <w:p/>
        </w:tc>
        <w:tc>
          <w:tcPr>
            <w:tcW w:w="196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391" w:type="dxa"/>
            <w:vAlign w:val="top"/>
          </w:tcPr>
          <w:p>
            <w:r>
              <w:rPr>
                <w:rFonts w:hint="eastAsia" w:ascii="宋体" w:hAnsi="宋体" w:cs="宋体"/>
                <w:color w:val="000000"/>
                <w:kern w:val="0"/>
                <w:szCs w:val="21"/>
              </w:rPr>
              <w:t>重庆楼兴物业管理有限公司/重庆市北碚区云华路200号3-8-3</w:t>
            </w:r>
          </w:p>
          <w:p>
            <w:pPr>
              <w:rPr>
                <w:rFonts w:ascii="Times New Roman" w:hAnsi="Times New Roman" w:eastAsia="宋体" w:cs="Times New Roman"/>
                <w:kern w:val="2"/>
                <w:sz w:val="21"/>
                <w:szCs w:val="24"/>
                <w:lang w:val="de-DE" w:eastAsia="ja-JP" w:bidi="ar-SA"/>
              </w:rPr>
            </w:pPr>
          </w:p>
        </w:tc>
        <w:tc>
          <w:tcPr>
            <w:tcW w:w="1670" w:type="dxa"/>
            <w:vAlign w:val="top"/>
          </w:tcPr>
          <w:p>
            <w:pPr>
              <w:rPr>
                <w:rFonts w:ascii="Times New Roman" w:hAnsi="Times New Roman" w:eastAsia="宋体" w:cs="Times New Roman"/>
                <w:kern w:val="2"/>
                <w:sz w:val="21"/>
                <w:szCs w:val="24"/>
                <w:lang w:val="de-DE" w:eastAsia="ja-JP" w:bidi="ar-SA"/>
              </w:rPr>
            </w:pPr>
            <w:r>
              <w:rPr>
                <w:rFonts w:ascii="宋体" w:hAnsi="宋体" w:cs="宋体"/>
                <w:color w:val="000000"/>
                <w:kern w:val="0"/>
                <w:szCs w:val="21"/>
              </w:rPr>
              <w:t>重庆市北碚区体育中心缙虹路</w:t>
            </w:r>
            <w:r>
              <w:rPr>
                <w:rFonts w:hint="eastAsia" w:ascii="宋体" w:hAnsi="宋体" w:cs="宋体"/>
                <w:color w:val="000000"/>
                <w:kern w:val="0"/>
                <w:szCs w:val="21"/>
                <w:lang w:val="en-US" w:eastAsia="zh-CN"/>
              </w:rPr>
              <w:t>/</w:t>
            </w:r>
            <w:r>
              <w:rPr>
                <w:rFonts w:hint="eastAsia"/>
                <w:color w:val="auto"/>
                <w:highlight w:val="none"/>
              </w:rPr>
              <w:t>重庆市北碚区</w:t>
            </w:r>
            <w:r>
              <w:rPr>
                <w:rFonts w:hint="eastAsia"/>
                <w:color w:val="auto"/>
                <w:highlight w:val="none"/>
                <w:lang w:eastAsia="zh-CN"/>
              </w:rPr>
              <w:t>公园村</w:t>
            </w:r>
            <w:r>
              <w:rPr>
                <w:rFonts w:hint="eastAsia"/>
                <w:color w:val="auto"/>
                <w:highlight w:val="none"/>
                <w:lang w:val="en-US" w:eastAsia="zh-CN"/>
              </w:rPr>
              <w:t>13号</w:t>
            </w:r>
          </w:p>
        </w:tc>
        <w:tc>
          <w:tcPr>
            <w:tcW w:w="977" w:type="dxa"/>
            <w:vAlign w:val="center"/>
          </w:tcPr>
          <w:p>
            <w:pPr>
              <w:ind w:left="210" w:hanging="210" w:hangingChars="100"/>
              <w:jc w:val="left"/>
              <w:rPr>
                <w:rFonts w:hint="default" w:ascii="Times New Roman" w:hAnsi="Times New Roman" w:eastAsia="宋体" w:cs="Times New Roman"/>
                <w:color w:val="auto"/>
                <w:kern w:val="2"/>
                <w:sz w:val="21"/>
                <w:szCs w:val="24"/>
                <w:highlight w:val="none"/>
                <w:lang w:val="en-US" w:eastAsia="ja-JP" w:bidi="ar-SA"/>
              </w:rPr>
            </w:pPr>
            <w:r>
              <w:rPr>
                <w:rFonts w:hint="eastAsia"/>
                <w:color w:val="auto"/>
                <w:highlight w:val="none"/>
                <w:lang w:val="en-US" w:eastAsia="zh-CN"/>
              </w:rPr>
              <w:t>45</w:t>
            </w:r>
          </w:p>
        </w:tc>
        <w:tc>
          <w:tcPr>
            <w:tcW w:w="1576"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物业管理服务</w:t>
            </w:r>
          </w:p>
        </w:tc>
        <w:tc>
          <w:tcPr>
            <w:tcW w:w="1963"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GB/T19001-2016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391" w:type="dxa"/>
            <w:vAlign w:val="top"/>
          </w:tcPr>
          <w:p>
            <w:r>
              <w:rPr>
                <w:rFonts w:hint="eastAsia" w:ascii="宋体" w:hAnsi="宋体" w:cs="宋体"/>
                <w:color w:val="000000"/>
                <w:kern w:val="0"/>
                <w:szCs w:val="21"/>
              </w:rPr>
              <w:t>重庆楼兴物业管理有限公司/重庆市北碚区云华路200号3-8-3</w:t>
            </w:r>
          </w:p>
          <w:p>
            <w:pPr>
              <w:rPr>
                <w:rFonts w:ascii="Times New Roman" w:hAnsi="Times New Roman" w:eastAsia="宋体" w:cs="Times New Roman"/>
                <w:kern w:val="2"/>
                <w:sz w:val="21"/>
                <w:szCs w:val="24"/>
                <w:lang w:val="en-US" w:eastAsia="ja-JP" w:bidi="ar-SA"/>
              </w:rPr>
            </w:pPr>
          </w:p>
        </w:tc>
        <w:tc>
          <w:tcPr>
            <w:tcW w:w="1670" w:type="dxa"/>
            <w:vAlign w:val="top"/>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重庆市北碚区体育中心缙虹路</w:t>
            </w:r>
            <w:r>
              <w:rPr>
                <w:rFonts w:hint="eastAsia" w:ascii="宋体" w:hAnsi="宋体" w:cs="宋体"/>
                <w:color w:val="000000"/>
                <w:kern w:val="0"/>
                <w:szCs w:val="21"/>
                <w:lang w:val="en-US" w:eastAsia="zh-CN"/>
              </w:rPr>
              <w:t>/</w:t>
            </w:r>
            <w:r>
              <w:rPr>
                <w:rFonts w:hint="eastAsia"/>
                <w:color w:val="auto"/>
                <w:highlight w:val="none"/>
              </w:rPr>
              <w:t>重庆市北碚区</w:t>
            </w:r>
            <w:r>
              <w:rPr>
                <w:rFonts w:hint="eastAsia"/>
                <w:color w:val="auto"/>
                <w:highlight w:val="none"/>
                <w:lang w:eastAsia="zh-CN"/>
              </w:rPr>
              <w:t>公园村</w:t>
            </w:r>
            <w:r>
              <w:rPr>
                <w:rFonts w:hint="eastAsia"/>
                <w:color w:val="auto"/>
                <w:highlight w:val="none"/>
                <w:lang w:val="en-US" w:eastAsia="zh-CN"/>
              </w:rPr>
              <w:t>13号</w:t>
            </w:r>
          </w:p>
        </w:tc>
        <w:tc>
          <w:tcPr>
            <w:tcW w:w="977" w:type="dxa"/>
            <w:vAlign w:val="center"/>
          </w:tcPr>
          <w:p>
            <w:pPr>
              <w:rPr>
                <w:rFonts w:hint="default" w:ascii="Times New Roman" w:hAnsi="Times New Roman" w:eastAsia="宋体" w:cs="Times New Roman"/>
                <w:color w:val="auto"/>
                <w:kern w:val="2"/>
                <w:sz w:val="21"/>
                <w:szCs w:val="24"/>
                <w:highlight w:val="none"/>
                <w:lang w:val="en-US" w:eastAsia="ja-JP" w:bidi="ar-SA"/>
              </w:rPr>
            </w:pPr>
            <w:r>
              <w:rPr>
                <w:rFonts w:hint="eastAsia"/>
                <w:color w:val="auto"/>
                <w:highlight w:val="none"/>
                <w:lang w:val="en-US" w:eastAsia="zh-CN"/>
              </w:rPr>
              <w:t>45</w:t>
            </w:r>
          </w:p>
        </w:tc>
        <w:tc>
          <w:tcPr>
            <w:tcW w:w="1576"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物业管理服务所涉及场所的相关环境管理活动</w:t>
            </w:r>
          </w:p>
        </w:tc>
        <w:tc>
          <w:tcPr>
            <w:tcW w:w="1963" w:type="dxa"/>
            <w:vAlign w:val="center"/>
          </w:tcPr>
          <w:p>
            <w:pPr>
              <w:rPr>
                <w:rFonts w:ascii="宋体" w:hAnsi="宋体" w:cs="宋体"/>
                <w:color w:val="000000"/>
                <w:kern w:val="0"/>
                <w:szCs w:val="21"/>
                <w:lang w:val="de-DE"/>
              </w:rPr>
            </w:pPr>
            <w:r>
              <w:rPr>
                <w:rFonts w:hint="eastAsia" w:ascii="宋体" w:hAnsi="宋体" w:cs="宋体"/>
                <w:color w:val="000000"/>
                <w:kern w:val="0"/>
                <w:szCs w:val="21"/>
                <w:lang w:val="de-DE"/>
              </w:rPr>
              <w:t>GB/T24001-2016</w:t>
            </w:r>
          </w:p>
          <w:p>
            <w:pPr>
              <w:rPr>
                <w:rFonts w:ascii="宋体" w:hAnsi="宋体" w:cs="宋体"/>
                <w:color w:val="000000"/>
                <w:kern w:val="0"/>
                <w:szCs w:val="21"/>
                <w:lang w:val="en-US" w:eastAsia="ja-JP"/>
              </w:rPr>
            </w:pP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647" w:type="dxa"/>
            <w:vAlign w:val="center"/>
          </w:tcPr>
          <w:p>
            <w:pPr>
              <w:rPr>
                <w:lang w:eastAsia="ja-JP"/>
              </w:rPr>
            </w:pPr>
            <w:r>
              <w:rPr>
                <w:rFonts w:hint="eastAsia"/>
                <w:lang w:eastAsia="ja-JP"/>
              </w:rPr>
              <w:t>03</w:t>
            </w:r>
          </w:p>
        </w:tc>
        <w:tc>
          <w:tcPr>
            <w:tcW w:w="2391" w:type="dxa"/>
            <w:vAlign w:val="top"/>
          </w:tcPr>
          <w:p>
            <w:r>
              <w:rPr>
                <w:rFonts w:hint="eastAsia" w:ascii="宋体" w:hAnsi="宋体" w:cs="宋体"/>
                <w:color w:val="000000"/>
                <w:kern w:val="0"/>
                <w:szCs w:val="21"/>
              </w:rPr>
              <w:t>重庆楼兴物业管理有限公司/重庆市北碚区云华路200号3-8-3</w:t>
            </w:r>
          </w:p>
          <w:p>
            <w:pPr>
              <w:rPr>
                <w:rFonts w:ascii="Times New Roman" w:hAnsi="Times New Roman" w:eastAsia="宋体" w:cs="Times New Roman"/>
                <w:kern w:val="2"/>
                <w:sz w:val="21"/>
                <w:szCs w:val="24"/>
                <w:lang w:val="en-US" w:eastAsia="ja-JP" w:bidi="ar-SA"/>
              </w:rPr>
            </w:pPr>
          </w:p>
        </w:tc>
        <w:tc>
          <w:tcPr>
            <w:tcW w:w="1670" w:type="dxa"/>
            <w:vAlign w:val="top"/>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重庆市北碚区体育中心缙虹路</w:t>
            </w:r>
            <w:r>
              <w:rPr>
                <w:rFonts w:hint="eastAsia" w:ascii="宋体" w:hAnsi="宋体" w:cs="宋体"/>
                <w:color w:val="000000"/>
                <w:kern w:val="0"/>
                <w:szCs w:val="21"/>
                <w:lang w:val="en-US" w:eastAsia="zh-CN"/>
              </w:rPr>
              <w:t>/</w:t>
            </w:r>
            <w:r>
              <w:rPr>
                <w:rFonts w:hint="eastAsia"/>
                <w:color w:val="auto"/>
                <w:highlight w:val="none"/>
              </w:rPr>
              <w:t>重庆市北碚区</w:t>
            </w:r>
            <w:r>
              <w:rPr>
                <w:rFonts w:hint="eastAsia"/>
                <w:color w:val="auto"/>
                <w:highlight w:val="none"/>
                <w:lang w:eastAsia="zh-CN"/>
              </w:rPr>
              <w:t>公园村</w:t>
            </w:r>
            <w:r>
              <w:rPr>
                <w:rFonts w:hint="eastAsia"/>
                <w:color w:val="auto"/>
                <w:highlight w:val="none"/>
                <w:lang w:val="en-US" w:eastAsia="zh-CN"/>
              </w:rPr>
              <w:t>13号</w:t>
            </w:r>
          </w:p>
        </w:tc>
        <w:tc>
          <w:tcPr>
            <w:tcW w:w="977" w:type="dxa"/>
            <w:vAlign w:val="center"/>
          </w:tcPr>
          <w:p>
            <w:pPr>
              <w:rPr>
                <w:rFonts w:hint="default" w:ascii="Times New Roman" w:hAnsi="Times New Roman" w:eastAsia="宋体" w:cs="Times New Roman"/>
                <w:color w:val="auto"/>
                <w:kern w:val="2"/>
                <w:sz w:val="21"/>
                <w:szCs w:val="24"/>
                <w:highlight w:val="none"/>
                <w:lang w:val="en-US" w:eastAsia="ja-JP" w:bidi="ar-SA"/>
              </w:rPr>
            </w:pPr>
            <w:r>
              <w:rPr>
                <w:rFonts w:hint="eastAsia"/>
                <w:color w:val="auto"/>
                <w:highlight w:val="none"/>
                <w:lang w:val="en-US" w:eastAsia="zh-CN"/>
              </w:rPr>
              <w:t>45</w:t>
            </w:r>
          </w:p>
        </w:tc>
        <w:tc>
          <w:tcPr>
            <w:tcW w:w="1576" w:type="dxa"/>
            <w:vAlign w:val="center"/>
          </w:tcPr>
          <w:p>
            <w:pPr>
              <w:rPr>
                <w:rFonts w:ascii="Times New Roman" w:hAnsi="Times New Roman" w:eastAsia="宋体" w:cs="Times New Roman"/>
                <w:kern w:val="2"/>
                <w:sz w:val="21"/>
                <w:szCs w:val="24"/>
                <w:lang w:val="en-US" w:eastAsia="ja-JP" w:bidi="ar-SA"/>
              </w:rPr>
            </w:pPr>
            <w:r>
              <w:rPr>
                <w:rFonts w:ascii="宋体" w:hAnsi="宋体" w:cs="宋体"/>
                <w:color w:val="000000"/>
                <w:kern w:val="0"/>
                <w:szCs w:val="21"/>
              </w:rPr>
              <w:t>物业管理服务所涉及场所的相关职业健康安全管理活动</w:t>
            </w:r>
          </w:p>
        </w:tc>
        <w:tc>
          <w:tcPr>
            <w:tcW w:w="1963" w:type="dxa"/>
            <w:vAlign w:val="center"/>
          </w:tcPr>
          <w:p>
            <w:pPr>
              <w:rPr>
                <w:rFonts w:ascii="宋体" w:hAnsi="宋体" w:cs="宋体"/>
                <w:color w:val="000000"/>
                <w:kern w:val="0"/>
                <w:szCs w:val="21"/>
                <w:lang w:val="en-US" w:eastAsia="ja-JP"/>
              </w:rPr>
            </w:pPr>
            <w:r>
              <w:rPr>
                <w:rFonts w:hint="eastAsia" w:ascii="宋体" w:hAnsi="宋体" w:cs="宋体"/>
                <w:color w:val="000000"/>
                <w:kern w:val="0"/>
                <w:szCs w:val="21"/>
              </w:rPr>
              <w:t xml:space="preserve"> GB/T 45001-2020</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391" w:type="dxa"/>
            <w:vAlign w:val="center"/>
          </w:tcPr>
          <w:p>
            <w:pPr>
              <w:rPr>
                <w:lang w:eastAsia="ja-JP"/>
              </w:rPr>
            </w:pPr>
          </w:p>
        </w:tc>
        <w:tc>
          <w:tcPr>
            <w:tcW w:w="1670" w:type="dxa"/>
            <w:vAlign w:val="center"/>
          </w:tcPr>
          <w:p>
            <w:pPr>
              <w:rPr>
                <w:lang w:eastAsia="ja-JP"/>
              </w:rPr>
            </w:pPr>
          </w:p>
        </w:tc>
        <w:tc>
          <w:tcPr>
            <w:tcW w:w="977" w:type="dxa"/>
            <w:vAlign w:val="center"/>
          </w:tcPr>
          <w:p>
            <w:pPr>
              <w:rPr>
                <w:rFonts w:hint="default" w:eastAsia="宋体"/>
                <w:color w:val="auto"/>
                <w:highlight w:val="red"/>
                <w:lang w:val="en-US" w:eastAsia="zh-CN"/>
              </w:rPr>
            </w:pPr>
          </w:p>
        </w:tc>
        <w:tc>
          <w:tcPr>
            <w:tcW w:w="1576" w:type="dxa"/>
            <w:vAlign w:val="center"/>
          </w:tcPr>
          <w:p>
            <w:pPr>
              <w:widowControl/>
              <w:jc w:val="left"/>
              <w:rPr>
                <w:lang w:eastAsia="ja-JP"/>
              </w:rPr>
            </w:pPr>
          </w:p>
        </w:tc>
        <w:tc>
          <w:tcPr>
            <w:tcW w:w="1963" w:type="dxa"/>
            <w:vAlign w:val="center"/>
          </w:tcPr>
          <w:p>
            <w:pPr>
              <w:rPr>
                <w:lang w:eastAsia="ja-JP"/>
              </w:rPr>
            </w:pPr>
          </w:p>
        </w:tc>
        <w:tc>
          <w:tcPr>
            <w:tcW w:w="668" w:type="dxa"/>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391" w:type="dxa"/>
            <w:vAlign w:val="center"/>
          </w:tcPr>
          <w:p>
            <w:pPr>
              <w:rPr>
                <w:lang w:eastAsia="ja-JP"/>
              </w:rPr>
            </w:pPr>
          </w:p>
        </w:tc>
        <w:tc>
          <w:tcPr>
            <w:tcW w:w="1670" w:type="dxa"/>
            <w:vAlign w:val="center"/>
          </w:tcPr>
          <w:p>
            <w:pPr>
              <w:rPr>
                <w:lang w:eastAsia="ja-JP"/>
              </w:rPr>
            </w:pPr>
          </w:p>
        </w:tc>
        <w:tc>
          <w:tcPr>
            <w:tcW w:w="977" w:type="dxa"/>
            <w:vAlign w:val="center"/>
          </w:tcPr>
          <w:p>
            <w:pPr>
              <w:rPr>
                <w:lang w:eastAsia="ja-JP"/>
              </w:rPr>
            </w:pPr>
          </w:p>
        </w:tc>
        <w:tc>
          <w:tcPr>
            <w:tcW w:w="1576" w:type="dxa"/>
            <w:vAlign w:val="center"/>
          </w:tcPr>
          <w:p>
            <w:pPr>
              <w:rPr>
                <w:lang w:eastAsia="ja-JP"/>
              </w:rPr>
            </w:pPr>
          </w:p>
        </w:tc>
        <w:tc>
          <w:tcPr>
            <w:tcW w:w="196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临时场所地址变更</w:t>
            </w:r>
          </w:p>
        </w:tc>
        <w:tc>
          <w:tcPr>
            <w:tcW w:w="7412" w:type="dxa"/>
            <w:vAlign w:val="top"/>
          </w:tcPr>
          <w:p>
            <w:pP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新增临时场所地址：</w:t>
            </w:r>
            <w:r>
              <w:rPr>
                <w:rFonts w:hint="eastAsia"/>
                <w:color w:val="auto"/>
                <w:highlight w:val="none"/>
              </w:rPr>
              <w:t>重庆市北碚区</w:t>
            </w:r>
            <w:r>
              <w:rPr>
                <w:rFonts w:hint="eastAsia"/>
                <w:color w:val="auto"/>
                <w:highlight w:val="none"/>
                <w:lang w:eastAsia="zh-CN"/>
              </w:rPr>
              <w:t>公园村</w:t>
            </w:r>
            <w:r>
              <w:rPr>
                <w:rFonts w:hint="eastAsia"/>
                <w:color w:val="auto"/>
                <w:highlight w:val="none"/>
                <w:lang w:val="en-US" w:eastAsia="zh-CN"/>
              </w:rPr>
              <w:t>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宋体" w:hAnsi="宋体" w:cs="宋体"/>
                <w:color w:val="000000" w:themeColor="text1"/>
                <w:szCs w:val="21"/>
              </w:rPr>
              <w:t>上次不符合为项目部</w:t>
            </w:r>
            <w:r>
              <w:rPr>
                <w:rFonts w:hint="eastAsia" w:ascii="宋体" w:hAnsi="宋体" w:cs="宋体"/>
                <w:color w:val="000000" w:themeColor="text1"/>
                <w:szCs w:val="21"/>
                <w:lang w:val="en-US" w:eastAsia="zh-CN"/>
              </w:rPr>
              <w:t>Q</w:t>
            </w:r>
            <w:r>
              <w:rPr>
                <w:rFonts w:hint="eastAsia" w:asciiTheme="minorEastAsia" w:hAnsiTheme="minorEastAsia" w:eastAsiaTheme="minorEastAsia"/>
                <w:color w:val="000000" w:themeColor="text1"/>
                <w:szCs w:val="21"/>
                <w:lang w:val="en-US" w:eastAsia="zh-CN"/>
              </w:rPr>
              <w:t>7.1.5</w:t>
            </w:r>
            <w:r>
              <w:rPr>
                <w:rFonts w:hint="eastAsia" w:asciiTheme="minorEastAsia" w:hAnsiTheme="minorEastAsia" w:eastAsiaTheme="minorEastAsia"/>
                <w:color w:val="000000" w:themeColor="text1"/>
                <w:szCs w:val="21"/>
              </w:rPr>
              <w:t>条款</w:t>
            </w:r>
            <w:r>
              <w:rPr>
                <w:rFonts w:hint="eastAsia" w:ascii="宋体" w:hAnsi="宋体" w:cs="宋体"/>
                <w:color w:val="000000" w:themeColor="text1"/>
                <w:szCs w:val="21"/>
              </w:rPr>
              <w:t>，经本次审核验证均整改且无类似不符合情况出现。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依据规定使用标志和证书。有进行相关的抽查，无违规使用证书和标志情况</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top"/>
          </w:tcPr>
          <w:p>
            <w:pPr>
              <w:widowControl/>
              <w:jc w:val="left"/>
              <w:rPr>
                <w:rFonts w:ascii="宋体" w:hAnsi="宋体" w:cs="宋体"/>
                <w:color w:val="000000"/>
                <w:kern w:val="0"/>
                <w:szCs w:val="21"/>
              </w:rPr>
            </w:pPr>
            <w:r>
              <w:rPr>
                <w:rFonts w:ascii="宋体" w:hAnsi="宋体" w:cs="宋体"/>
                <w:color w:val="000000"/>
                <w:kern w:val="0"/>
                <w:szCs w:val="21"/>
              </w:rPr>
              <w:t>Q：物业管理服务</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widowControl/>
              <w:jc w:val="left"/>
              <w:rPr>
                <w:rFonts w:ascii="宋体" w:hAnsi="宋体" w:cs="宋体"/>
                <w:color w:val="000000"/>
                <w:kern w:val="0"/>
                <w:szCs w:val="21"/>
              </w:rPr>
            </w:pPr>
            <w:r>
              <w:rPr>
                <w:rFonts w:ascii="宋体" w:hAnsi="宋体" w:cs="宋体"/>
                <w:color w:val="000000"/>
                <w:kern w:val="0"/>
                <w:szCs w:val="21"/>
              </w:rPr>
              <w:t>E：物业管理服务所涉及的相关环境管理活动</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O：物业管理服务所涉及的相关职业健康安全管理活动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在完成纠正措施后推荐保持认证注册(□监督审核</w:t>
            </w:r>
            <w:r>
              <w:rPr>
                <w:rFonts w:hint="eastAsia" w:ascii="宋体" w:hAnsi="宋体" w:eastAsia="宋体" w:cs="宋体"/>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杨珍全</w:t>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2023年03月07日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w:t>
                  </w:r>
                  <w:r>
                    <w:rPr>
                      <w:rFonts w:hint="eastAsia" w:ascii="宋体" w:hAnsi="宋体" w:eastAsia="宋体" w:cs="宋体"/>
                    </w:rPr>
                    <w:t>■</w:t>
                  </w:r>
                  <w:r>
                    <w:rPr>
                      <w:rFonts w:hint="eastAsia"/>
                    </w:rPr>
                    <w:t xml:space="preserve">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ascii="Times New Roman" w:hAnsi="Times New Roman" w:eastAsia="宋体" w:cs="Times New Roman"/>
                <w:b/>
                <w:bCs/>
                <w:lang w:val="en-US"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lang w:val="en-GB"/>
              </w:rPr>
            </w:pPr>
            <w:r>
              <w:rPr>
                <w:rFonts w:hint="eastAsia"/>
                <w:lang w:val="en-GB"/>
              </w:rPr>
              <w:t>最高管理者制定了文件化的管理体系方针：</w:t>
            </w:r>
            <w:bookmarkStart w:id="30" w:name="_Toc449219740"/>
            <w:bookmarkStart w:id="31" w:name="_Toc454797542"/>
          </w:p>
          <w:bookmarkEnd w:id="30"/>
          <w:bookmarkEnd w:id="31"/>
          <w:p>
            <w:pPr>
              <w:shd w:val="clear" w:color="auto" w:fill="C7DAF1" w:themeFill="text2" w:themeFillTint="32"/>
              <w:rPr>
                <w:b/>
                <w:bCs/>
                <w:u w:val="single"/>
                <w:lang w:val="en-GB"/>
              </w:rPr>
            </w:pPr>
            <w:r>
              <w:rPr>
                <w:rFonts w:hint="eastAsia" w:ascii="宋体" w:hAnsi="宋体"/>
                <w:b/>
                <w:bCs/>
                <w:szCs w:val="21"/>
              </w:rPr>
              <w:t>科学领先，顾客满意，持续改进，行业领先，质量一流，服务一流。</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公司服务不及时，顾客埋怨投诉较多，导致客户流失风险</w:t>
                  </w:r>
                </w:p>
              </w:tc>
              <w:tc>
                <w:tcPr>
                  <w:tcW w:w="3965" w:type="dxa"/>
                </w:tcPr>
                <w:p>
                  <w:pPr>
                    <w:shd w:val="clear" w:color="auto" w:fill="C7DAF1" w:themeFill="text2" w:themeFillTint="32"/>
                  </w:pPr>
                  <w:r>
                    <w:rPr>
                      <w:rFonts w:hint="eastAsia" w:ascii="宋体" w:hAnsi="宋体" w:cs="宋体"/>
                      <w:szCs w:val="21"/>
                    </w:rPr>
                    <w:t>市场部和保洁部要严格按照作业计划实施服务，提高客户满意度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人员能力不满足物业管理服务的发展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采购成本增加，使公司的服务不具备竞争能力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color w:val="FF0000"/>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ascii="宋体" w:hAnsi="宋体"/>
                      <w:color w:val="auto"/>
                      <w:sz w:val="21"/>
                      <w:szCs w:val="21"/>
                      <w:highlight w:val="none"/>
                    </w:rPr>
                  </w:pPr>
                  <w:r>
                    <w:rPr>
                      <w:rFonts w:hint="eastAsia" w:ascii="宋体" w:hAnsi="宋体"/>
                      <w:color w:val="auto"/>
                      <w:sz w:val="21"/>
                      <w:szCs w:val="21"/>
                      <w:highlight w:val="none"/>
                    </w:rPr>
                    <w:t>合同履行率100%</w:t>
                  </w:r>
                </w:p>
              </w:tc>
              <w:tc>
                <w:tcPr>
                  <w:tcW w:w="3109" w:type="dxa"/>
                  <w:shd w:val="clear" w:color="auto" w:fill="auto"/>
                  <w:vAlign w:val="center"/>
                </w:tcPr>
                <w:p>
                  <w:pPr>
                    <w:widowControl/>
                    <w:tabs>
                      <w:tab w:val="left" w:pos="540"/>
                    </w:tabs>
                    <w:spacing w:line="240" w:lineRule="exact"/>
                    <w:jc w:val="left"/>
                    <w:textAlignment w:val="center"/>
                    <w:rPr>
                      <w:rFonts w:ascii="宋体" w:hAnsi="宋体"/>
                      <w:color w:val="auto"/>
                      <w:highlight w:val="none"/>
                    </w:rPr>
                  </w:pPr>
                  <w:r>
                    <w:rPr>
                      <w:rFonts w:hint="eastAsia" w:ascii="宋体" w:hAnsi="宋体"/>
                      <w:color w:val="auto"/>
                      <w:highlight w:val="none"/>
                    </w:rPr>
                    <w:t>签订合同数/履行合同数*100%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行政部</w:t>
                  </w:r>
                </w:p>
              </w:tc>
              <w:tc>
                <w:tcPr>
                  <w:tcW w:w="1682"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合同履行率100%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80" w:lineRule="exact"/>
                    <w:rPr>
                      <w:rFonts w:ascii="宋体" w:hAnsi="宋体"/>
                      <w:color w:val="auto"/>
                      <w:sz w:val="21"/>
                      <w:szCs w:val="21"/>
                      <w:highlight w:val="none"/>
                    </w:rPr>
                  </w:pPr>
                  <w:r>
                    <w:rPr>
                      <w:rFonts w:hint="eastAsia"/>
                      <w:color w:val="auto"/>
                      <w:sz w:val="21"/>
                      <w:szCs w:val="21"/>
                      <w:highlight w:val="none"/>
                    </w:rPr>
                    <w:t>顾客满意度≥90分</w:t>
                  </w:r>
                </w:p>
              </w:tc>
              <w:tc>
                <w:tcPr>
                  <w:tcW w:w="3109" w:type="dxa"/>
                  <w:shd w:val="clear" w:color="auto" w:fill="auto"/>
                  <w:vAlign w:val="center"/>
                </w:tcPr>
                <w:p>
                  <w:pPr>
                    <w:widowControl/>
                    <w:tabs>
                      <w:tab w:val="left" w:pos="540"/>
                    </w:tabs>
                    <w:spacing w:line="240" w:lineRule="exact"/>
                    <w:jc w:val="left"/>
                    <w:textAlignment w:val="center"/>
                    <w:rPr>
                      <w:rFonts w:ascii="宋体" w:hAnsi="宋体"/>
                      <w:color w:val="auto"/>
                      <w:highlight w:val="none"/>
                    </w:rPr>
                  </w:pPr>
                  <w:r>
                    <w:rPr>
                      <w:rFonts w:hint="eastAsia" w:ascii="宋体" w:hAnsi="宋体"/>
                      <w:color w:val="auto"/>
                      <w:highlight w:val="none"/>
                    </w:rPr>
                    <w:t>客户打分总分数÷调查客户数量*100%；</w:t>
                  </w:r>
                </w:p>
              </w:tc>
              <w:tc>
                <w:tcPr>
                  <w:tcW w:w="1179"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行政部</w:t>
                  </w:r>
                </w:p>
              </w:tc>
              <w:tc>
                <w:tcPr>
                  <w:tcW w:w="1682" w:type="dxa"/>
                  <w:shd w:val="clear" w:color="auto" w:fill="auto"/>
                  <w:vAlign w:val="center"/>
                </w:tcPr>
                <w:p>
                  <w:pPr>
                    <w:widowControl/>
                    <w:tabs>
                      <w:tab w:val="left" w:pos="540"/>
                    </w:tabs>
                    <w:spacing w:line="240" w:lineRule="exact"/>
                    <w:jc w:val="left"/>
                    <w:textAlignment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顾客满意度已达</w:t>
                  </w:r>
                  <w:r>
                    <w:rPr>
                      <w:rFonts w:hint="eastAsia" w:ascii="宋体" w:hAnsi="宋体" w:cs="Times New Roman"/>
                      <w:color w:val="auto"/>
                      <w:highlight w:val="none"/>
                      <w:lang w:val="en-US" w:eastAsia="zh-CN"/>
                    </w:rPr>
                    <w:t>96</w:t>
                  </w:r>
                  <w:r>
                    <w:rPr>
                      <w:rFonts w:hint="eastAsia" w:ascii="宋体" w:hAnsi="宋体" w:eastAsia="宋体"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ascii="宋体" w:hAnsi="宋体"/>
                      <w:highlight w:val="red"/>
                    </w:rPr>
                  </w:pPr>
                </w:p>
              </w:tc>
              <w:tc>
                <w:tcPr>
                  <w:tcW w:w="3109" w:type="dxa"/>
                  <w:shd w:val="clear" w:color="auto" w:fill="auto"/>
                  <w:vAlign w:val="center"/>
                </w:tcPr>
                <w:p>
                  <w:pPr>
                    <w:widowControl/>
                    <w:tabs>
                      <w:tab w:val="left" w:pos="540"/>
                    </w:tabs>
                    <w:spacing w:line="240" w:lineRule="exact"/>
                    <w:jc w:val="left"/>
                    <w:textAlignment w:val="center"/>
                    <w:rPr>
                      <w:rFonts w:ascii="宋体" w:hAnsi="宋体"/>
                      <w:highlight w:val="red"/>
                    </w:rPr>
                  </w:pPr>
                </w:p>
              </w:tc>
              <w:tc>
                <w:tcPr>
                  <w:tcW w:w="1179" w:type="dxa"/>
                  <w:shd w:val="clear" w:color="auto" w:fill="auto"/>
                  <w:vAlign w:val="center"/>
                </w:tcPr>
                <w:p>
                  <w:pPr>
                    <w:widowControl/>
                    <w:tabs>
                      <w:tab w:val="left" w:pos="540"/>
                    </w:tabs>
                    <w:spacing w:line="240" w:lineRule="exact"/>
                    <w:jc w:val="left"/>
                    <w:textAlignment w:val="center"/>
                    <w:rPr>
                      <w:rFonts w:ascii="宋体" w:hAnsi="宋体"/>
                      <w:highlight w:val="red"/>
                    </w:rPr>
                  </w:pPr>
                </w:p>
              </w:tc>
              <w:tc>
                <w:tcPr>
                  <w:tcW w:w="1682" w:type="dxa"/>
                  <w:shd w:val="clear" w:color="auto" w:fill="auto"/>
                  <w:vAlign w:val="center"/>
                </w:tcPr>
                <w:p>
                  <w:pPr>
                    <w:jc w:val="center"/>
                    <w:rPr>
                      <w:rFonts w:ascii="宋体" w:hAnsi="宋体"/>
                      <w:highlight w:val="red"/>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□组织结构变更□部门职责变更□主要原材料□关键人员□生产工艺/服务流程</w:t>
            </w:r>
          </w:p>
          <w:p>
            <w:pPr>
              <w:shd w:val="clear" w:color="auto" w:fill="C7DAF1" w:themeFill="text2" w:themeFillTint="32"/>
              <w:spacing w:before="40" w:after="40"/>
              <w:rPr>
                <w:color w:val="auto"/>
              </w:rPr>
            </w:pPr>
            <w:r>
              <w:rPr>
                <w:rFonts w:hint="eastAsia"/>
                <w:color w:val="auto"/>
              </w:rPr>
              <w:t>□主要设备设施□主要检测设备□其他体系人数变更</w:t>
            </w:r>
          </w:p>
          <w:p>
            <w:pPr>
              <w:shd w:val="clear" w:color="auto" w:fill="C7DAF1" w:themeFill="text2" w:themeFillTint="32"/>
              <w:spacing w:before="40" w:after="40"/>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color w:val="auto"/>
                <w:highlight w:val="none"/>
              </w:rPr>
            </w:pPr>
            <w:r>
              <w:rPr>
                <w:rFonts w:hint="eastAsia"/>
                <w:color w:val="auto"/>
              </w:rPr>
              <w:t>办</w:t>
            </w:r>
            <w:r>
              <w:rPr>
                <w:rFonts w:hint="eastAsia" w:cs="宋体"/>
                <w:color w:val="auto"/>
              </w:rPr>
              <w:t>公场所</w:t>
            </w:r>
            <w:r>
              <w:rPr>
                <w:rFonts w:hint="eastAsia" w:cs="宋体"/>
                <w:color w:val="auto"/>
                <w:highlight w:val="none"/>
              </w:rPr>
              <w:t>共约300平方米；</w:t>
            </w:r>
            <w:r>
              <w:rPr>
                <w:rFonts w:hint="eastAsia" w:cs="宋体"/>
                <w:color w:val="auto"/>
                <w:highlight w:val="none"/>
                <w:lang w:val="en-US" w:eastAsia="zh-CN"/>
              </w:rPr>
              <w:t>服务</w:t>
            </w:r>
            <w:r>
              <w:rPr>
                <w:rFonts w:hint="eastAsia" w:cs="宋体"/>
                <w:color w:val="auto"/>
                <w:highlight w:val="none"/>
              </w:rPr>
              <w:t>场所1个；库房 1  个；实验室   个；</w:t>
            </w:r>
          </w:p>
          <w:p>
            <w:pPr>
              <w:rPr>
                <w:rFonts w:cs="宋体"/>
                <w:color w:val="auto"/>
                <w:highlight w:val="none"/>
                <w:u w:val="single"/>
              </w:rPr>
            </w:pPr>
            <w:r>
              <w:rPr>
                <w:rFonts w:hint="eastAsia" w:cs="宋体"/>
                <w:color w:val="auto"/>
                <w:highlight w:val="none"/>
              </w:rPr>
              <w:t>主要生产设备有：</w:t>
            </w:r>
            <w:r>
              <w:rPr>
                <w:rFonts w:hint="eastAsia" w:cs="宋体"/>
                <w:color w:val="auto"/>
                <w:highlight w:val="none"/>
                <w:u w:val="single"/>
              </w:rPr>
              <w:t>电脑、打印机、门位岗亭、对讲机、保安服、消防栓、灭火器、手电等，工程维修维护配置了维修工具(万用表、</w:t>
            </w:r>
            <w:r>
              <w:rPr>
                <w:rFonts w:hint="eastAsia" w:cs="宋体"/>
                <w:color w:val="auto"/>
                <w:highlight w:val="none"/>
                <w:u w:val="single"/>
                <w:lang w:val="en-US" w:eastAsia="zh-CN"/>
              </w:rPr>
              <w:t>兆欧表、</w:t>
            </w:r>
            <w:r>
              <w:rPr>
                <w:rFonts w:hint="eastAsia" w:cs="宋体"/>
                <w:color w:val="auto"/>
                <w:highlight w:val="none"/>
                <w:u w:val="single"/>
              </w:rPr>
              <w:t>电工刀、螺丝刀、夹线钳等</w:t>
            </w:r>
            <w:r>
              <w:rPr>
                <w:rFonts w:hint="eastAsia" w:cs="宋体"/>
                <w:color w:val="auto"/>
                <w:highlight w:val="none"/>
                <w:u w:val="single"/>
                <w:lang w:eastAsia="zh-CN"/>
              </w:rPr>
              <w:t>）</w:t>
            </w:r>
            <w:r>
              <w:rPr>
                <w:rFonts w:hint="eastAsia" w:cs="宋体"/>
                <w:color w:val="auto"/>
                <w:highlight w:val="none"/>
                <w:u w:val="single"/>
              </w:rPr>
              <w:t>。</w:t>
            </w:r>
          </w:p>
          <w:p>
            <w:pPr>
              <w:shd w:val="clear" w:color="auto" w:fill="C7DAF1" w:themeFill="text2" w:themeFillTint="32"/>
              <w:rPr>
                <w:color w:val="auto"/>
              </w:rPr>
            </w:pPr>
            <w:r>
              <w:rPr>
                <w:rFonts w:hint="eastAsia"/>
                <w:color w:val="auto"/>
              </w:rPr>
              <w:t>特种设备：</w:t>
            </w:r>
            <w:r>
              <w:rPr>
                <w:rFonts w:hint="eastAsia" w:ascii="Wingdings" w:hAnsi="Wingdings"/>
                <w:color w:val="auto"/>
              </w:rPr>
              <w:t>□</w:t>
            </w:r>
            <w:r>
              <w:rPr>
                <w:rFonts w:hint="eastAsia"/>
                <w:color w:val="auto"/>
              </w:rPr>
              <w:t>叉车</w:t>
            </w:r>
            <w:r>
              <w:rPr>
                <w:rFonts w:hint="eastAsia" w:ascii="Wingdings" w:hAnsi="Wingdings"/>
                <w:color w:val="auto"/>
              </w:rPr>
              <w:t>□</w:t>
            </w:r>
            <w:r>
              <w:rPr>
                <w:rFonts w:hint="eastAsia"/>
                <w:color w:val="auto"/>
              </w:rPr>
              <w:t>行车</w:t>
            </w:r>
            <w:r>
              <w:rPr>
                <w:rFonts w:hint="eastAsia" w:ascii="Wingdings" w:hAnsi="Wingdings"/>
                <w:color w:val="auto"/>
              </w:rPr>
              <w:t>□</w:t>
            </w:r>
            <w:r>
              <w:rPr>
                <w:rFonts w:hint="eastAsia"/>
                <w:color w:val="auto"/>
              </w:rPr>
              <w:t>锅炉</w:t>
            </w:r>
            <w:r>
              <w:rPr>
                <w:rFonts w:hint="eastAsia" w:ascii="宋体" w:hAnsi="宋体" w:cs="宋体"/>
                <w:color w:val="auto"/>
                <w:lang w:eastAsia="zh-CN"/>
              </w:rPr>
              <w:t>□</w:t>
            </w:r>
            <w:r>
              <w:rPr>
                <w:rFonts w:hint="eastAsia" w:ascii="宋体" w:hAnsi="宋体" w:cs="宋体"/>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lang w:eastAsia="zh-CN"/>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宋体" w:hAnsi="宋体" w:cs="宋体"/>
                <w:color w:val="auto"/>
                <w:lang w:eastAsia="zh-CN"/>
              </w:rPr>
              <w:t>□</w:t>
            </w:r>
            <w:r>
              <w:rPr>
                <w:rFonts w:hint="eastAsia"/>
                <w:color w:val="auto"/>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组织的</w:t>
            </w:r>
            <w:r>
              <w:t>监视和测量资源</w:t>
            </w:r>
            <w:r>
              <w:rPr>
                <w:rFonts w:hint="eastAsia"/>
              </w:rPr>
              <w:t>：</w:t>
            </w:r>
            <w:r>
              <w:rPr>
                <w:rFonts w:hint="eastAsia" w:ascii="宋体" w:hAnsi="宋体" w:cs="宋体"/>
              </w:rPr>
              <w:t>■</w:t>
            </w:r>
            <w:r>
              <w:rPr>
                <w:rFonts w:hint="eastAsia" w:ascii="Wingdings" w:hAnsi="Wingdings"/>
              </w:rPr>
              <w:t>计量器具</w:t>
            </w:r>
            <w:r>
              <w:rPr>
                <w:rFonts w:hint="eastAsia"/>
              </w:rPr>
              <w:t xml:space="preserve">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color w:val="auto"/>
              </w:rPr>
              <w:t xml:space="preserve">  </w:t>
            </w:r>
            <w:r>
              <w:rPr>
                <w:rFonts w:hint="eastAsia" w:ascii="宋体" w:hAnsi="宋体" w:cs="宋体"/>
                <w:color w:val="auto"/>
              </w:rPr>
              <w:t>■</w:t>
            </w:r>
            <w:r>
              <w:rPr>
                <w:rFonts w:hint="eastAsia" w:ascii="Wingdings" w:hAnsi="Wingdings"/>
                <w:color w:val="auto"/>
              </w:rPr>
              <w:t>外校</w:t>
            </w:r>
          </w:p>
          <w:p>
            <w:pPr>
              <w:shd w:val="clear" w:color="auto" w:fill="C7DAF1" w:themeFill="text2" w:themeFillTint="32"/>
              <w:rPr>
                <w:rFonts w:ascii="宋体" w:hAnsi="宋体" w:cs="宋体"/>
                <w:color w:val="auto"/>
                <w:szCs w:val="21"/>
                <w:highlight w:val="none"/>
                <w:u w:val="single"/>
              </w:rPr>
            </w:pPr>
            <w:r>
              <w:rPr>
                <w:rFonts w:hint="eastAsia"/>
                <w:color w:val="auto"/>
              </w:rPr>
              <w:t>国家强检的计</w:t>
            </w:r>
            <w:r>
              <w:rPr>
                <w:rFonts w:hint="eastAsia"/>
                <w:color w:val="auto"/>
                <w:highlight w:val="none"/>
              </w:rPr>
              <w:t>量器具有：</w:t>
            </w:r>
            <w:r>
              <w:rPr>
                <w:rFonts w:hint="eastAsia" w:ascii="宋体" w:hAnsi="宋体" w:cs="宋体"/>
                <w:color w:val="auto"/>
                <w:szCs w:val="21"/>
                <w:highlight w:val="none"/>
                <w:u w:val="single"/>
              </w:rPr>
              <w:t>。</w:t>
            </w:r>
          </w:p>
          <w:p>
            <w:pPr>
              <w:shd w:val="clear" w:color="auto" w:fill="C7DAF1" w:themeFill="text2" w:themeFillTint="32"/>
              <w:rPr>
                <w:u w:val="single"/>
              </w:rPr>
            </w:pPr>
            <w:r>
              <w:rPr>
                <w:rFonts w:hint="eastAsia"/>
                <w:color w:val="auto"/>
                <w:highlight w:val="none"/>
              </w:rPr>
              <w:t>计量器具管理：</w:t>
            </w:r>
            <w:r>
              <w:rPr>
                <w:rFonts w:hint="eastAsia"/>
                <w:color w:val="auto"/>
                <w:highlight w:val="none"/>
                <w:lang w:eastAsia="zh-CN"/>
              </w:rPr>
              <w:t>■</w:t>
            </w:r>
            <w:r>
              <w:rPr>
                <w:rFonts w:hint="eastAsia"/>
                <w:color w:val="auto"/>
                <w:highlight w:val="none"/>
              </w:rPr>
              <w:t xml:space="preserve">进行了定期校准/检定  </w:t>
            </w:r>
            <w:r>
              <w:rPr>
                <w:rFonts w:hint="eastAsia" w:ascii="Wingdings" w:hAnsi="Wingdings"/>
                <w:color w:val="auto"/>
                <w:highlight w:val="none"/>
                <w:lang w:eastAsia="zh-CN"/>
              </w:rPr>
              <w:t>□</w:t>
            </w:r>
            <w:r>
              <w:rPr>
                <w:rFonts w:hint="eastAsia"/>
                <w:color w:val="auto"/>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w:t>
            </w:r>
            <w:r>
              <w:rPr>
                <w:rFonts w:hint="eastAsia"/>
                <w:color w:val="auto"/>
              </w:rPr>
              <w:t>员：</w:t>
            </w:r>
            <w:r>
              <w:rPr>
                <w:rFonts w:hint="eastAsia" w:ascii="宋体" w:hAnsi="宋体" w:cs="宋体"/>
                <w:color w:val="auto"/>
              </w:rPr>
              <w:t>■电工</w:t>
            </w:r>
            <w:r>
              <w:rPr>
                <w:rFonts w:hint="eastAsia"/>
                <w:color w:val="auto"/>
              </w:rPr>
              <w:t xml:space="preserve"> </w:t>
            </w:r>
            <w:r>
              <w:rPr>
                <w:rFonts w:hint="eastAsia" w:ascii="Wingdings" w:hAnsi="Wingdings"/>
                <w:color w:val="auto"/>
              </w:rPr>
              <w:t>□</w:t>
            </w:r>
            <w:r>
              <w:rPr>
                <w:rFonts w:hint="eastAsia"/>
                <w:color w:val="auto"/>
              </w:rPr>
              <w:t xml:space="preserve">焊工 </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color w:val="FF0000"/>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lang w:eastAsia="zh-CN"/>
              </w:rPr>
              <w:t>□</w:t>
            </w:r>
            <w:r>
              <w:rPr>
                <w:rFonts w:hint="eastAsia" w:ascii="宋体" w:hAnsi="宋体" w:cs="宋体"/>
              </w:rPr>
              <w:t>其他：</w:t>
            </w:r>
          </w:p>
          <w:p>
            <w:pPr>
              <w:shd w:val="clear" w:color="auto" w:fill="C7DAF1" w:themeFill="text2" w:themeFillTint="32"/>
              <w:jc w:val="left"/>
            </w:pPr>
            <w:r>
              <w:rPr>
                <w:rFonts w:hint="eastAsia"/>
              </w:rPr>
              <w:t>提供给外部供方的信息</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物业管理服务</w:t>
                  </w:r>
                </w:p>
              </w:tc>
              <w:tc>
                <w:tcPr>
                  <w:tcW w:w="2694" w:type="dxa"/>
                </w:tcPr>
                <w:p>
                  <w:pPr>
                    <w:shd w:val="clear" w:color="auto" w:fill="C7DAF1" w:themeFill="text2" w:themeFillTint="32"/>
                    <w:jc w:val="left"/>
                  </w:pPr>
                  <w:r>
                    <w:rPr>
                      <w:rFonts w:hint="eastAsia"/>
                    </w:rPr>
                    <w:t>关键过程：物业服务过程</w:t>
                  </w:r>
                </w:p>
                <w:p>
                  <w:pPr>
                    <w:shd w:val="clear" w:color="auto" w:fill="C7DAF1" w:themeFill="text2" w:themeFillTint="32"/>
                    <w:jc w:val="left"/>
                  </w:pPr>
                </w:p>
              </w:tc>
              <w:tc>
                <w:tcPr>
                  <w:tcW w:w="3640" w:type="dxa"/>
                </w:tcPr>
                <w:p>
                  <w:pPr>
                    <w:shd w:val="clear" w:color="auto" w:fill="C7DAF1" w:themeFill="text2" w:themeFillTint="32"/>
                    <w:jc w:val="left"/>
                  </w:pPr>
                  <w:r>
                    <w:rPr>
                      <w:rFonts w:hint="eastAsia"/>
                    </w:rPr>
                    <w:t>包括服务方案制定、人员能力培训、服务过程监控、效果评价。</w:t>
                  </w:r>
                </w:p>
              </w:tc>
            </w:tr>
          </w:tbl>
          <w:p>
            <w:pPr>
              <w:shd w:val="clear" w:color="auto" w:fill="C7DAF1" w:themeFill="text2" w:themeFillTint="32"/>
              <w:jc w:val="left"/>
            </w:pPr>
          </w:p>
          <w:p>
            <w:pPr>
              <w:rPr>
                <w:rFonts w:hint="default" w:eastAsia="宋体"/>
                <w:color w:val="auto"/>
                <w:lang w:val="en-US" w:eastAsia="zh-CN"/>
              </w:rPr>
            </w:pPr>
            <w:r>
              <w:rPr>
                <w:rFonts w:hint="eastAsia"/>
                <w:color w:val="auto"/>
              </w:rPr>
              <w:t>需要确认的过程：物业管理</w:t>
            </w:r>
            <w:r>
              <w:rPr>
                <w:rFonts w:hint="eastAsia"/>
                <w:color w:val="auto"/>
                <w:lang w:val="en-US" w:eastAsia="zh-CN"/>
              </w:rPr>
              <w:t>服务过程</w:t>
            </w:r>
          </w:p>
          <w:p>
            <w:pPr>
              <w:shd w:val="clear" w:color="auto" w:fill="C7DAF1" w:themeFill="text2" w:themeFillTint="32"/>
              <w:jc w:val="left"/>
              <w:rPr>
                <w:color w:val="auto"/>
              </w:rPr>
            </w:pPr>
            <w:r>
              <w:rPr>
                <w:rFonts w:hint="eastAsia" w:ascii="Wingdings" w:hAnsi="Wingdings"/>
                <w:color w:val="auto"/>
              </w:rPr>
              <w:t>■</w:t>
            </w:r>
            <w:r>
              <w:rPr>
                <w:rFonts w:hint="eastAsia"/>
                <w:color w:val="auto"/>
              </w:rPr>
              <w:t xml:space="preserve">进行了有效的确认  </w:t>
            </w:r>
            <w:r>
              <w:rPr>
                <w:rFonts w:hint="eastAsia" w:ascii="Wingdings" w:hAnsi="Wingdings"/>
                <w:color w:val="auto"/>
              </w:rPr>
              <w:t>□</w:t>
            </w:r>
            <w:r>
              <w:rPr>
                <w:rFonts w:hint="eastAsia"/>
                <w:color w:val="auto"/>
              </w:rPr>
              <w:t>存在不足，说明</w:t>
            </w:r>
            <w:r>
              <w:rPr>
                <w:rFonts w:hint="eastAsia"/>
                <w:color w:val="auto"/>
                <w:u w:val="single"/>
              </w:rPr>
              <w:t xml:space="preserve">                          </w:t>
            </w:r>
          </w:p>
          <w:p>
            <w:pPr>
              <w:shd w:val="clear" w:color="auto" w:fill="C7DAF1" w:themeFill="text2" w:themeFillTint="32"/>
              <w:jc w:val="left"/>
            </w:pPr>
            <w:r>
              <w:rPr>
                <w:rFonts w:hint="eastAsia"/>
                <w:color w:val="auto"/>
              </w:rPr>
              <w:t>对生产和服务提供过程的控制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rPr>
              <w:t>■</w:t>
            </w:r>
            <w:r>
              <w:rPr>
                <w:rFonts w:hint="eastAsia"/>
              </w:rPr>
              <w:t>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w:t>
            </w:r>
            <w:r>
              <w:rPr>
                <w:rFonts w:hint="eastAsia"/>
                <w:color w:val="auto"/>
                <w:highlight w:val="none"/>
              </w:rPr>
              <w:t>划于</w:t>
            </w:r>
            <w:r>
              <w:rPr>
                <w:rFonts w:hint="eastAsia"/>
                <w:color w:val="auto"/>
                <w:highlight w:val="none"/>
                <w:u w:val="single"/>
              </w:rPr>
              <w:t>202</w:t>
            </w:r>
            <w:r>
              <w:rPr>
                <w:rFonts w:hint="eastAsia"/>
                <w:color w:val="auto"/>
                <w:highlight w:val="none"/>
                <w:u w:val="single"/>
                <w:lang w:val="en-US" w:eastAsia="zh-CN"/>
              </w:rPr>
              <w:t>2</w:t>
            </w:r>
            <w:r>
              <w:rPr>
                <w:rFonts w:hint="eastAsia"/>
                <w:color w:val="auto"/>
                <w:highlight w:val="none"/>
                <w:u w:val="single"/>
              </w:rPr>
              <w:t>年</w:t>
            </w:r>
            <w:r>
              <w:rPr>
                <w:rFonts w:hint="eastAsia"/>
                <w:color w:val="auto"/>
                <w:highlight w:val="none"/>
                <w:u w:val="single"/>
                <w:lang w:val="en-US" w:eastAsia="zh-CN"/>
              </w:rPr>
              <w:t>12</w:t>
            </w:r>
            <w:r>
              <w:rPr>
                <w:rFonts w:hint="eastAsia"/>
                <w:color w:val="auto"/>
                <w:highlight w:val="none"/>
                <w:u w:val="single"/>
              </w:rPr>
              <w:t>月</w:t>
            </w:r>
            <w:r>
              <w:rPr>
                <w:rFonts w:hint="eastAsia"/>
                <w:color w:val="auto"/>
                <w:highlight w:val="none"/>
                <w:u w:val="single"/>
                <w:lang w:val="en-US" w:eastAsia="zh-CN"/>
              </w:rPr>
              <w:t>20</w:t>
            </w:r>
            <w:r>
              <w:rPr>
                <w:rFonts w:hint="eastAsia"/>
                <w:color w:val="auto"/>
                <w:highlight w:val="none"/>
                <w:u w:val="single"/>
              </w:rPr>
              <w:t>日</w:t>
            </w:r>
            <w:r>
              <w:rPr>
                <w:rFonts w:hint="eastAsia"/>
                <w:color w:val="auto"/>
                <w:highlight w:val="none"/>
              </w:rPr>
              <w:t>实施了质量管理体系内部审核，对质量管理体系的符合性和有效性进行了审核。内审发现的</w:t>
            </w:r>
            <w:r>
              <w:rPr>
                <w:rFonts w:hint="eastAsia"/>
                <w:color w:val="auto"/>
                <w:highlight w:val="none"/>
                <w:u w:val="single"/>
              </w:rPr>
              <w:t xml:space="preserve"> 1 </w:t>
            </w:r>
            <w:r>
              <w:rPr>
                <w:rFonts w:hint="eastAsia"/>
                <w:color w:val="auto"/>
                <w:highlight w:val="none"/>
              </w:rPr>
              <w:t>项不符合在本次审核前已完成整改。在公司内完成的这些审核是可信的。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w:t>
            </w:r>
            <w:r>
              <w:rPr>
                <w:rFonts w:hint="eastAsia"/>
                <w:highlight w:val="none"/>
              </w:rPr>
              <w:t>策划的时</w:t>
            </w:r>
            <w:r>
              <w:rPr>
                <w:rFonts w:hint="eastAsia"/>
                <w:color w:val="auto"/>
                <w:highlight w:val="none"/>
              </w:rPr>
              <w:t>间间隔，在</w:t>
            </w:r>
            <w:r>
              <w:rPr>
                <w:rFonts w:hint="eastAsia" w:ascii="宋体" w:hAnsi="宋体"/>
                <w:color w:val="auto"/>
                <w:highlight w:val="none"/>
                <w:u w:val="single"/>
              </w:rPr>
              <w:t>202</w:t>
            </w:r>
            <w:r>
              <w:rPr>
                <w:rFonts w:hint="eastAsia" w:ascii="宋体" w:hAnsi="宋体"/>
                <w:color w:val="auto"/>
                <w:highlight w:val="none"/>
                <w:u w:val="single"/>
                <w:lang w:val="en-US" w:eastAsia="zh-CN"/>
              </w:rPr>
              <w:t>3</w:t>
            </w:r>
            <w:r>
              <w:rPr>
                <w:rFonts w:hint="eastAsia" w:ascii="宋体" w:hAnsi="宋体"/>
                <w:color w:val="auto"/>
                <w:highlight w:val="none"/>
                <w:u w:val="single"/>
              </w:rPr>
              <w:t>年</w:t>
            </w:r>
            <w:r>
              <w:rPr>
                <w:rFonts w:hint="eastAsia" w:ascii="宋体" w:hAnsi="宋体"/>
                <w:color w:val="auto"/>
                <w:highlight w:val="none"/>
                <w:u w:val="single"/>
                <w:lang w:val="en-US" w:eastAsia="zh-CN"/>
              </w:rPr>
              <w:t>1</w:t>
            </w:r>
            <w:r>
              <w:rPr>
                <w:rFonts w:hint="eastAsia" w:ascii="宋体" w:hAnsi="宋体"/>
                <w:color w:val="auto"/>
                <w:highlight w:val="none"/>
                <w:u w:val="single"/>
              </w:rPr>
              <w:t>月</w:t>
            </w:r>
            <w:r>
              <w:rPr>
                <w:rFonts w:hint="eastAsia" w:ascii="宋体" w:hAnsi="宋体"/>
                <w:color w:val="auto"/>
                <w:highlight w:val="none"/>
                <w:u w:val="single"/>
                <w:lang w:val="en-US" w:eastAsia="zh-CN"/>
              </w:rPr>
              <w:t>10</w:t>
            </w:r>
            <w:r>
              <w:rPr>
                <w:rFonts w:hint="eastAsia" w:ascii="宋体" w:hAnsi="宋体"/>
                <w:color w:val="auto"/>
                <w:highlight w:val="none"/>
                <w:u w:val="single"/>
              </w:rPr>
              <w:t>日</w:t>
            </w:r>
            <w:r>
              <w:rPr>
                <w:rFonts w:hint="eastAsia"/>
                <w:color w:val="auto"/>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lang w:eastAsia="zh-CN"/>
              </w:rPr>
              <w:t>□</w:t>
            </w:r>
            <w:r>
              <w:rPr>
                <w:rFonts w:hint="eastAsia"/>
              </w:rPr>
              <w:t xml:space="preserve">不合格产品/服务 </w:t>
            </w:r>
            <w:r>
              <w:rPr>
                <w:rFonts w:ascii="Wingdings" w:hAnsi="Wingdings"/>
              </w:rPr>
              <w:t></w:t>
            </w:r>
            <w:r>
              <w:rPr>
                <w:rFonts w:hint="eastAsia"/>
              </w:rPr>
              <w:t xml:space="preserve">自我验证的结果  </w:t>
            </w:r>
            <w:r>
              <w:rPr>
                <w:rFonts w:ascii="Wingdings" w:hAnsi="Wingdings"/>
              </w:rPr>
              <w:t></w:t>
            </w:r>
            <w:r>
              <w:rPr>
                <w:rFonts w:hint="eastAsia"/>
              </w:rPr>
              <w:t xml:space="preserve">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ascii="宋体" w:hAnsi="宋体" w:cs="宋体"/>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标准条款</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4.1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4.2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4.3</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4.4</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5.1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5.2</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5.3</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6.1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6.2</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6.3</w:t>
            </w:r>
          </w:p>
        </w:tc>
        <w:tc>
          <w:tcPr>
            <w:tcW w:w="650" w:type="dxa"/>
            <w:shd w:val="clear" w:color="auto" w:fill="BFBFBF"/>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评价*)</w:t>
            </w:r>
          </w:p>
        </w:tc>
        <w:tc>
          <w:tcPr>
            <w:tcW w:w="649" w:type="dxa"/>
            <w:vAlign w:val="center"/>
          </w:tcPr>
          <w:p>
            <w:pPr>
              <w:shd w:val="clear" w:color="auto" w:fill="C7DAF1" w:themeFill="text2" w:themeFillTint="32"/>
              <w:rPr>
                <w:color w:val="auto"/>
                <w:highlight w:val="none"/>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shd w:val="clear" w:color="auto" w:fill="BFBFBF"/>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rPr>
            </w:pPr>
            <w:r>
              <w:rPr>
                <w:rFonts w:hint="eastAsia"/>
                <w:color w:val="auto"/>
                <w:highlight w:val="none"/>
              </w:rPr>
              <w:t>不符合数量</w:t>
            </w: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shd w:val="clear" w:color="auto" w:fill="BFBFBF"/>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标准条款</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7.1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7.3</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7.4</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7.5</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8.2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8.3</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8.4</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8.5</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8.6</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评价*)</w:t>
            </w:r>
          </w:p>
        </w:tc>
        <w:tc>
          <w:tcPr>
            <w:tcW w:w="649" w:type="dxa"/>
            <w:vAlign w:val="center"/>
          </w:tcPr>
          <w:p>
            <w:pPr>
              <w:shd w:val="clear" w:color="auto" w:fill="C7DAF1" w:themeFill="text2" w:themeFillTint="32"/>
              <w:rPr>
                <w:rFonts w:hint="eastAsia" w:eastAsia="宋体"/>
                <w:color w:val="auto"/>
                <w:highlight w:val="none"/>
                <w:lang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4</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rPr>
              <w:t>不符合数量</w:t>
            </w:r>
          </w:p>
        </w:tc>
        <w:tc>
          <w:tcPr>
            <w:tcW w:w="649" w:type="dxa"/>
            <w:vAlign w:val="center"/>
          </w:tcPr>
          <w:p>
            <w:pPr>
              <w:shd w:val="clear" w:color="auto" w:fill="C7DAF1" w:themeFill="text2" w:themeFillTint="32"/>
              <w:rPr>
                <w:rFonts w:hint="eastAsia" w:eastAsia="宋体"/>
                <w:color w:val="auto"/>
                <w:highlight w:val="none"/>
                <w:lang w:val="en-US" w:eastAsia="zh-CN"/>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49"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标准条款</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9.1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9.2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9.3</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10.1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10.2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10.3</w:t>
            </w: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评价*)</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1</w:t>
            </w: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rPr>
              <w:t>不符合数量</w:t>
            </w: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49"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c>
          <w:tcPr>
            <w:tcW w:w="650" w:type="dxa"/>
            <w:shd w:val="pct25" w:color="auto" w:fill="auto"/>
            <w:vAlign w:val="center"/>
          </w:tcPr>
          <w:p>
            <w:pPr>
              <w:shd w:val="clear" w:color="auto" w:fill="C7DAF1" w:themeFill="text2" w:themeFillTint="32"/>
              <w:rPr>
                <w:color w:val="auto"/>
                <w:highlight w:val="none"/>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w:t>
                  </w:r>
                  <w:r>
                    <w:rPr>
                      <w:rFonts w:hint="eastAsia" w:ascii="宋体" w:hAnsi="宋体" w:eastAsia="宋体" w:cs="宋体"/>
                    </w:rPr>
                    <w:t>■</w:t>
                  </w:r>
                  <w:r>
                    <w:rPr>
                      <w:rFonts w:hint="eastAsia"/>
                    </w:rPr>
                    <w:t xml:space="preserve">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ascii="Times New Roman" w:hAnsi="Times New Roman" w:eastAsia="宋体" w:cs="Times New Roman"/>
                <w:lang w:val="en-US" w:eastAsia="zh-CN"/>
              </w:rPr>
              <w:t>无</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rPr>
                <w:rFonts w:hint="eastAsia"/>
                <w:b/>
                <w:bCs/>
                <w:lang w:val="en-GB"/>
              </w:rPr>
            </w:pPr>
            <w:r>
              <w:rPr>
                <w:rFonts w:hint="eastAsia"/>
              </w:rPr>
              <w:t>最高管</w:t>
            </w:r>
            <w:r>
              <w:rPr>
                <w:rFonts w:hint="eastAsia"/>
                <w:lang w:val="en-GB"/>
              </w:rPr>
              <w:t>理者制定了文件化的管理体系方针：</w:t>
            </w:r>
            <w:r>
              <w:rPr>
                <w:rFonts w:hint="eastAsia"/>
                <w:b/>
                <w:bCs/>
                <w:lang w:val="en-GB"/>
              </w:rPr>
              <w:t>预防为主，遵规守法，确保环境安全；以人为本，持续改进，实现平安和谐。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主要的风险或机遇描述</w:t>
                  </w:r>
                </w:p>
              </w:tc>
              <w:tc>
                <w:tcPr>
                  <w:tcW w:w="4438"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潜在火灾</w:t>
                  </w:r>
                </w:p>
              </w:tc>
              <w:tc>
                <w:tcPr>
                  <w:tcW w:w="4438"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固废排放</w:t>
                  </w:r>
                </w:p>
              </w:tc>
              <w:tc>
                <w:tcPr>
                  <w:tcW w:w="4438" w:type="dxa"/>
                </w:tcPr>
                <w:p>
                  <w:pPr>
                    <w:shd w:val="clear" w:color="auto" w:fill="EBF1DE" w:themeFill="accent3" w:themeFillTint="3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none"/>
                    </w:rPr>
                  </w:pPr>
                </w:p>
              </w:tc>
              <w:tc>
                <w:tcPr>
                  <w:tcW w:w="4438" w:type="dxa"/>
                </w:tcPr>
                <w:p>
                  <w:pPr>
                    <w:shd w:val="clear" w:color="auto" w:fill="EBF1DE" w:themeFill="accent3" w:themeFillTint="32"/>
                    <w:rPr>
                      <w:rFonts w:asciiTheme="minorEastAsia" w:hAnsiTheme="minorEastAsia" w:eastAsiaTheme="minorEastAsia"/>
                      <w:color w:val="FF0000"/>
                      <w:szCs w:val="21"/>
                      <w:highlight w:val="none"/>
                    </w:rPr>
                  </w:pPr>
                </w:p>
              </w:tc>
              <w:tc>
                <w:tcPr>
                  <w:tcW w:w="1717" w:type="dxa"/>
                </w:tcPr>
                <w:p>
                  <w:pPr>
                    <w:shd w:val="clear" w:color="auto" w:fill="EBF1DE" w:themeFill="accent3" w:themeFillTint="32"/>
                    <w:rPr>
                      <w:color w:val="FF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none"/>
                    </w:rPr>
                  </w:pPr>
                </w:p>
              </w:tc>
              <w:tc>
                <w:tcPr>
                  <w:tcW w:w="4438" w:type="dxa"/>
                </w:tcPr>
                <w:p>
                  <w:pPr>
                    <w:shd w:val="clear" w:color="auto" w:fill="EBF1DE" w:themeFill="accent3" w:themeFillTint="32"/>
                    <w:rPr>
                      <w:rFonts w:asciiTheme="minorEastAsia" w:hAnsiTheme="minorEastAsia" w:eastAsiaTheme="minorEastAsia"/>
                      <w:color w:val="FF0000"/>
                      <w:szCs w:val="21"/>
                      <w:highlight w:val="none"/>
                    </w:rPr>
                  </w:pPr>
                </w:p>
              </w:tc>
              <w:tc>
                <w:tcPr>
                  <w:tcW w:w="1717" w:type="dxa"/>
                </w:tcPr>
                <w:p>
                  <w:pPr>
                    <w:shd w:val="clear" w:color="auto" w:fill="EBF1DE" w:themeFill="accent3" w:themeFillTint="32"/>
                    <w:rPr>
                      <w:color w:val="FF0000"/>
                      <w:highlight w:val="none"/>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w:t>
            </w:r>
            <w:r>
              <w:rPr>
                <w:rFonts w:hint="eastAsia"/>
                <w:color w:val="auto"/>
              </w:rPr>
              <w:t xml:space="preserve">能源消耗  </w:t>
            </w:r>
            <w:r>
              <w:rPr>
                <w:rFonts w:hint="eastAsia"/>
              </w:rPr>
              <w:t>□</w:t>
            </w:r>
            <w:r>
              <w:rPr>
                <w:rFonts w:hint="eastAsia"/>
                <w:color w:val="auto"/>
              </w:rPr>
              <w:t xml:space="preserve">资源消耗 □废水排放  □废气排放 </w:t>
            </w:r>
            <w:r>
              <w:rPr>
                <w:rFonts w:hint="eastAsia" w:ascii="宋体" w:hAnsi="宋体" w:cs="宋体"/>
                <w:color w:val="auto"/>
              </w:rPr>
              <w:t>□粉尘排放</w:t>
            </w:r>
            <w:r>
              <w:rPr>
                <w:rFonts w:hint="eastAsia"/>
                <w:color w:val="auto"/>
              </w:rPr>
              <w:t xml:space="preserve">  □危废排放 □噪声排放  </w:t>
            </w:r>
            <w:r>
              <w:rPr>
                <w:rFonts w:hint="eastAsia" w:ascii="宋体" w:hAnsi="宋体" w:cs="宋体"/>
                <w:color w:val="auto"/>
              </w:rPr>
              <w:t>□化学品泄露</w:t>
            </w:r>
            <w:r>
              <w:rPr>
                <w:rFonts w:hint="eastAsia"/>
                <w:color w:val="auto"/>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rPr>
                    <w:t>固体废弃物分类收集处置率100%</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pPr>
                  <w:r>
                    <w:rPr>
                      <w:rFonts w:hint="eastAsia"/>
                    </w:rPr>
                    <w:t>潜在火灾发生率为0</w:t>
                  </w:r>
                </w:p>
              </w:tc>
              <w:tc>
                <w:tcPr>
                  <w:tcW w:w="3399" w:type="dxa"/>
                  <w:shd w:val="clear" w:color="auto" w:fill="auto"/>
                  <w:vAlign w:val="center"/>
                </w:tcPr>
                <w:p>
                  <w:pPr>
                    <w:shd w:val="clear" w:color="auto" w:fill="EBF1DE" w:themeFill="accent3" w:themeFillTint="32"/>
                  </w:pPr>
                  <w:r>
                    <w:rPr>
                      <w:rFonts w:hint="eastAsia"/>
                    </w:rPr>
                    <w:t>通过管理方案和预案措施、应急演练进行管理</w:t>
                  </w:r>
                </w:p>
              </w:tc>
              <w:tc>
                <w:tcPr>
                  <w:tcW w:w="1087" w:type="dxa"/>
                  <w:shd w:val="clear" w:color="auto" w:fill="auto"/>
                  <w:vAlign w:val="center"/>
                </w:tcPr>
                <w:p>
                  <w:pPr>
                    <w:shd w:val="clear" w:color="auto" w:fill="EBF1DE" w:themeFill="accent3" w:themeFillTint="32"/>
                  </w:pPr>
                  <w:r>
                    <w:rPr>
                      <w:rFonts w:hint="eastAsia"/>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办公场所共约300平方米；</w:t>
            </w:r>
            <w:r>
              <w:rPr>
                <w:rFonts w:hint="eastAsia" w:ascii="Times New Roman" w:hAnsi="Times New Roman" w:eastAsia="宋体" w:cs="Times New Roman"/>
                <w:lang w:val="en-US" w:eastAsia="zh-CN"/>
              </w:rPr>
              <w:t>服务</w:t>
            </w:r>
            <w:r>
              <w:rPr>
                <w:rFonts w:hint="eastAsia" w:ascii="Times New Roman" w:hAnsi="Times New Roman" w:eastAsia="宋体" w:cs="Times New Roman"/>
              </w:rPr>
              <w:t>场所1个；库房 1  个；实验室   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主要生产设备有：电脑、打印机、门位岗亭、对讲机、保安服、消防栓、灭火器、手电等，工程维修维护配置了维修工具(万用表、</w:t>
            </w:r>
            <w:r>
              <w:rPr>
                <w:rFonts w:hint="eastAsia" w:ascii="Times New Roman" w:hAnsi="Times New Roman" w:eastAsia="宋体" w:cs="Times New Roman"/>
                <w:lang w:val="en-US" w:eastAsia="zh-CN"/>
              </w:rPr>
              <w:t>兆欧表、</w:t>
            </w:r>
            <w:r>
              <w:rPr>
                <w:rFonts w:hint="eastAsia" w:ascii="Times New Roman" w:hAnsi="Times New Roman" w:eastAsia="宋体" w:cs="Times New Roman"/>
              </w:rPr>
              <w:t>电工刀、螺丝刀、夹线钳等</w:t>
            </w:r>
            <w:r>
              <w:rPr>
                <w:rFonts w:hint="eastAsia" w:ascii="Times New Roman" w:hAnsi="Times New Roman" w:eastAsia="宋体" w:cs="Times New Roman"/>
                <w:lang w:eastAsia="zh-CN"/>
              </w:rPr>
              <w:t>）</w:t>
            </w:r>
            <w:r>
              <w:rPr>
                <w:rFonts w:hint="eastAsia" w:ascii="Times New Roman" w:hAnsi="Times New Roman" w:eastAsia="宋体" w:cs="Times New Roma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特种设备：□叉车□行车□锅炉</w:t>
            </w:r>
            <w:r>
              <w:rPr>
                <w:rFonts w:hint="eastAsia" w:ascii="Times New Roman" w:hAnsi="Times New Roman" w:eastAsia="宋体" w:cs="Times New Roman"/>
                <w:lang w:eastAsia="zh-CN"/>
              </w:rPr>
              <w:t>□</w:t>
            </w:r>
            <w:r>
              <w:rPr>
                <w:rFonts w:hint="eastAsia" w:ascii="Times New Roman" w:hAnsi="Times New Roman" w:eastAsia="宋体" w:cs="Times New Roman"/>
              </w:rPr>
              <w:t>电梯□压力容器□压力管道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辅助场所：□高压配电室 □低压配电室 □空压站 □锅炉房 □食堂  □危化品库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□危废库  □建筑施工 □污水处理站  □其他</w:t>
            </w:r>
          </w:p>
          <w:p>
            <w:pPr>
              <w:shd w:val="clear" w:color="auto" w:fill="EBF1DE" w:themeFill="accent3" w:themeFillTint="32"/>
              <w:rPr>
                <w:color w:val="auto"/>
              </w:rPr>
            </w:pPr>
            <w:r>
              <w:rPr>
                <w:rFonts w:hint="eastAsia"/>
                <w:color w:val="auto"/>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rPr>
              <w:t xml:space="preserve">通过 ■招聘 </w:t>
            </w:r>
            <w:r>
              <w:rPr>
                <w:rFonts w:hint="eastAsia"/>
                <w:color w:val="auto"/>
              </w:rPr>
              <w:t>□换岗 ■培训  ■考核   □辅导  □其他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宋体" w:hAnsi="宋体" w:cs="宋体"/>
                <w:color w:val="auto"/>
              </w:rPr>
              <w:t>■电工</w:t>
            </w:r>
            <w:r>
              <w:rPr>
                <w:rFonts w:ascii="Wingdings" w:hAnsi="Wingdings"/>
                <w:color w:val="auto"/>
              </w:rPr>
              <w:t></w:t>
            </w:r>
            <w:r>
              <w:rPr>
                <w:rFonts w:hint="eastAsia" w:ascii="Wingdings" w:hAnsi="Wingdings"/>
                <w:color w:val="auto"/>
              </w:rPr>
              <w:t>□焊工</w:t>
            </w:r>
            <w:r>
              <w:rPr>
                <w:rFonts w:hint="eastAsia"/>
                <w:color w:val="auto"/>
              </w:rPr>
              <w:t xml:space="preserve">  </w:t>
            </w:r>
            <w:r>
              <w:rPr>
                <w:rFonts w:hint="eastAsia" w:ascii="Wingdings" w:hAnsi="Wingdings"/>
                <w:color w:val="auto"/>
              </w:rPr>
              <w:t>□</w:t>
            </w:r>
            <w:r>
              <w:rPr>
                <w:rFonts w:hint="eastAsia"/>
                <w:color w:val="auto"/>
              </w:rPr>
              <w:t xml:space="preserve">危化品作业  </w:t>
            </w:r>
            <w:r>
              <w:rPr>
                <w:rFonts w:hint="eastAsia" w:ascii="Wingdings" w:hAnsi="Wingdings"/>
                <w:color w:val="auto"/>
              </w:rPr>
              <w:t>□</w:t>
            </w:r>
            <w:r>
              <w:rPr>
                <w:rFonts w:hint="eastAsia"/>
                <w:color w:val="auto"/>
              </w:rPr>
              <w:t xml:space="preserve">制冷工   </w:t>
            </w:r>
            <w:r>
              <w:rPr>
                <w:rFonts w:hint="eastAsia" w:ascii="Wingdings" w:hAnsi="Wingdings"/>
                <w:color w:val="auto"/>
              </w:rPr>
              <w:t>□</w:t>
            </w:r>
            <w:r>
              <w:rPr>
                <w:rFonts w:hint="eastAsia"/>
                <w:color w:val="auto"/>
              </w:rPr>
              <w:t xml:space="preserve">其他  </w:t>
            </w:r>
          </w:p>
          <w:p>
            <w:pPr>
              <w:shd w:val="clear" w:color="auto" w:fill="EBF1DE" w:themeFill="accent3" w:themeFillTint="32"/>
            </w:pPr>
            <w:r>
              <w:rPr>
                <w:rFonts w:hint="eastAsia"/>
                <w:color w:val="auto"/>
              </w:rPr>
              <w:t>特种设备作业人员：</w:t>
            </w:r>
            <w:r>
              <w:rPr>
                <w:rFonts w:hint="eastAsia" w:ascii="Wingdings" w:hAnsi="Wingdings"/>
                <w:color w:val="auto"/>
              </w:rPr>
              <w:t>□</w:t>
            </w:r>
            <w:r>
              <w:rPr>
                <w:rFonts w:hint="eastAsia"/>
                <w:color w:val="auto"/>
              </w:rPr>
              <w:t xml:space="preserve">叉车工 </w:t>
            </w:r>
            <w:r>
              <w:rPr>
                <w:rFonts w:hint="eastAsia" w:ascii="Wingdings" w:hAnsi="Wingdings"/>
                <w:color w:val="auto"/>
              </w:rPr>
              <w:t>□</w:t>
            </w:r>
            <w:r>
              <w:rPr>
                <w:rFonts w:hint="eastAsia"/>
                <w:color w:val="auto"/>
              </w:rPr>
              <w:t xml:space="preserve">行车工  </w:t>
            </w:r>
            <w:r>
              <w:rPr>
                <w:rFonts w:hint="eastAsia" w:ascii="Wingdings" w:hAnsi="Wingdings"/>
                <w:color w:val="auto"/>
              </w:rPr>
              <w:t>□</w:t>
            </w:r>
            <w:r>
              <w:rPr>
                <w:rFonts w:hint="eastAsia"/>
                <w:color w:val="auto"/>
              </w:rPr>
              <w:t xml:space="preserve">锅炉工  </w:t>
            </w:r>
            <w:r>
              <w:rPr>
                <w:rFonts w:hint="eastAsia" w:ascii="Wingdings" w:hAnsi="Wingdings"/>
                <w:color w:val="auto"/>
              </w:rPr>
              <w:t>□压力容器</w:t>
            </w:r>
            <w:r>
              <w:rPr>
                <w:rFonts w:hint="eastAsia"/>
                <w:color w:val="auto"/>
              </w:rPr>
              <w:t xml:space="preserve">   </w:t>
            </w:r>
            <w:r>
              <w:rPr>
                <w:rFonts w:hint="eastAsia" w:ascii="Wingdings" w:hAnsi="Wingdings"/>
                <w:color w:val="auto"/>
              </w:rPr>
              <w:t>□</w:t>
            </w:r>
            <w:r>
              <w:rPr>
                <w:rFonts w:hint="eastAsia"/>
                <w:color w:val="auto"/>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固废排放</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bookmarkStart w:id="32" w:name="_GoBack"/>
                  <w:bookmarkEnd w:id="32"/>
                  <w:r>
                    <w:rPr>
                      <w:rFonts w:hint="eastAsia"/>
                    </w:rPr>
                    <w:t>火灾</w:t>
                  </w:r>
                </w:p>
              </w:tc>
              <w:tc>
                <w:tcPr>
                  <w:tcW w:w="4430" w:type="dxa"/>
                </w:tcPr>
                <w:p>
                  <w:pPr>
                    <w:shd w:val="clear" w:color="auto" w:fill="EBF1DE" w:themeFill="accent3" w:themeFillTint="32"/>
                    <w:jc w:val="left"/>
                  </w:pPr>
                  <w:r>
                    <w:rPr>
                      <w:rFonts w:hint="eastAsia"/>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color w:val="auto"/>
                <w:u w:val="single"/>
              </w:rPr>
            </w:pPr>
            <w:r>
              <w:rPr>
                <w:rFonts w:hint="eastAsia"/>
              </w:rPr>
              <w:t>特种设备管</w:t>
            </w:r>
            <w:r>
              <w:rPr>
                <w:rFonts w:hint="eastAsia"/>
                <w:color w:val="auto"/>
              </w:rPr>
              <w:t>理：</w:t>
            </w:r>
            <w:r>
              <w:rPr>
                <w:rFonts w:hint="eastAsia" w:ascii="宋体" w:hAnsi="宋体" w:cs="宋体"/>
                <w:color w:val="auto"/>
                <w:lang w:eastAsia="zh-CN"/>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pPr>
            <w:r>
              <w:rPr>
                <w:rFonts w:hint="eastAsia"/>
                <w:color w:val="auto"/>
              </w:rPr>
              <w:t>特种设备检测报告，如：</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highlight w:val="none"/>
              </w:rPr>
            </w:pPr>
            <w:r>
              <w:rPr>
                <w:rFonts w:hint="eastAsia" w:ascii="Times New Roman" w:hAnsi="Times New Roman" w:eastAsia="宋体" w:cs="Times New Roman"/>
              </w:rPr>
              <w:t>于</w:t>
            </w:r>
            <w:r>
              <w:rPr>
                <w:rFonts w:hint="eastAsia" w:ascii="Times New Roman" w:hAnsi="Times New Roman" w:eastAsia="宋体" w:cs="Times New Roman"/>
                <w:highlight w:val="none"/>
              </w:rPr>
              <w:t>202</w:t>
            </w:r>
            <w:r>
              <w:rPr>
                <w:rFonts w:hint="eastAsia" w:cs="Times New Roman"/>
                <w:highlight w:val="none"/>
                <w:lang w:val="en-US" w:eastAsia="zh-CN"/>
              </w:rPr>
              <w:t>3</w:t>
            </w:r>
            <w:r>
              <w:rPr>
                <w:rFonts w:hint="eastAsia" w:ascii="Times New Roman" w:hAnsi="Times New Roman" w:eastAsia="宋体" w:cs="Times New Roman"/>
                <w:highlight w:val="none"/>
              </w:rPr>
              <w:t>年</w:t>
            </w:r>
            <w:r>
              <w:rPr>
                <w:rFonts w:hint="eastAsia" w:cs="Times New Roman"/>
                <w:highlight w:val="none"/>
                <w:lang w:val="en-US" w:eastAsia="zh-CN"/>
              </w:rPr>
              <w:t>1</w:t>
            </w:r>
            <w:r>
              <w:rPr>
                <w:rFonts w:hint="eastAsia" w:ascii="Times New Roman" w:hAnsi="Times New Roman" w:eastAsia="宋体" w:cs="Times New Roman"/>
                <w:highlight w:val="none"/>
              </w:rPr>
              <w:t>月</w:t>
            </w:r>
            <w:r>
              <w:rPr>
                <w:rFonts w:hint="eastAsia" w:cs="Times New Roman"/>
                <w:highlight w:val="none"/>
                <w:lang w:val="en-US" w:eastAsia="zh-CN"/>
              </w:rPr>
              <w:t>5</w:t>
            </w:r>
            <w:r>
              <w:rPr>
                <w:rFonts w:hint="eastAsia" w:ascii="Times New Roman" w:hAnsi="Times New Roman" w:eastAsia="宋体" w:cs="Times New Roman"/>
                <w:highlight w:val="none"/>
              </w:rPr>
              <w:t>日进行了消防火灾演练；</w:t>
            </w:r>
            <w:r>
              <w:rPr>
                <w:rFonts w:hint="eastAsia"/>
                <w:highlight w:val="none"/>
              </w:rPr>
              <w:t xml:space="preserve">并总结了预案的可行性和有效性。 </w:t>
            </w:r>
          </w:p>
          <w:p>
            <w:pPr>
              <w:shd w:val="clear" w:color="auto" w:fill="EBF1DE" w:themeFill="accent3" w:themeFillTint="32"/>
              <w:rPr>
                <w:highlight w:val="none"/>
              </w:rPr>
            </w:pPr>
            <w:r>
              <w:rPr>
                <w:rFonts w:hint="eastAsia"/>
                <w:highlight w:val="none"/>
              </w:rPr>
              <w:t xml:space="preserve">定期评审并修订过程和策划的响应措施，特别是发生紧急情况后或进行试验后； </w:t>
            </w:r>
          </w:p>
          <w:p>
            <w:pPr>
              <w:shd w:val="clear" w:color="auto" w:fill="EBF1DE" w:themeFill="accent3" w:themeFillTint="32"/>
              <w:rPr>
                <w:highlight w:val="none"/>
              </w:rPr>
            </w:pPr>
            <w:r>
              <w:rPr>
                <w:rFonts w:hint="eastAsia"/>
                <w:highlight w:val="none"/>
              </w:rPr>
              <w:t>向环境有关的相关方，包括在组织控制下工作的人员提供应急准备和响应相关的信息和培训。</w:t>
            </w:r>
          </w:p>
          <w:p>
            <w:pPr>
              <w:shd w:val="clear" w:color="auto" w:fill="EBF1DE" w:themeFill="accent3" w:themeFillTint="32"/>
            </w:pPr>
            <w:r>
              <w:rPr>
                <w:rFonts w:hint="eastAsia"/>
                <w:highlight w:val="none"/>
              </w:rPr>
              <w:t xml:space="preserve">应急准备和响应控制：■符合要求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color w:val="auto"/>
                <w:highlight w:val="none"/>
                <w:u w:val="single"/>
                <w:lang w:eastAsia="zh-CN"/>
              </w:rPr>
            </w:pPr>
            <w:r>
              <w:rPr>
                <w:rFonts w:hint="eastAsia" w:ascii="宋体" w:hAnsi="宋体" w:cs="宋体"/>
              </w:rPr>
              <w:t>■</w:t>
            </w:r>
            <w:r>
              <w:rPr>
                <w:rFonts w:hint="eastAsia"/>
              </w:rPr>
              <w:t>定期（每年）</w:t>
            </w:r>
            <w:r>
              <w:rPr>
                <w:rFonts w:hint="eastAsia"/>
                <w:color w:val="auto"/>
                <w:highlight w:val="none"/>
              </w:rPr>
              <w:t>：</w:t>
            </w:r>
            <w:r>
              <w:rPr>
                <w:rFonts w:hint="eastAsia"/>
                <w:color w:val="auto"/>
                <w:highlight w:val="none"/>
                <w:u w:val="single"/>
              </w:rPr>
              <w:t>202</w:t>
            </w:r>
            <w:r>
              <w:rPr>
                <w:rFonts w:hint="eastAsia"/>
                <w:color w:val="auto"/>
                <w:highlight w:val="none"/>
                <w:u w:val="single"/>
                <w:lang w:val="en-US" w:eastAsia="zh-CN"/>
              </w:rPr>
              <w:t>2</w:t>
            </w:r>
            <w:r>
              <w:rPr>
                <w:rFonts w:hint="eastAsia"/>
                <w:color w:val="auto"/>
                <w:highlight w:val="none"/>
                <w:u w:val="single"/>
              </w:rPr>
              <w:t>年</w:t>
            </w:r>
            <w:r>
              <w:rPr>
                <w:rFonts w:hint="eastAsia"/>
                <w:color w:val="auto"/>
                <w:highlight w:val="none"/>
                <w:u w:val="single"/>
                <w:lang w:val="en-US" w:eastAsia="zh-CN"/>
              </w:rPr>
              <w:t>12</w:t>
            </w:r>
            <w:r>
              <w:rPr>
                <w:rFonts w:hint="eastAsia"/>
                <w:color w:val="auto"/>
                <w:highlight w:val="none"/>
                <w:u w:val="single"/>
              </w:rPr>
              <w:t>月</w:t>
            </w:r>
            <w:r>
              <w:rPr>
                <w:rFonts w:hint="eastAsia"/>
                <w:color w:val="auto"/>
                <w:highlight w:val="none"/>
                <w:u w:val="single"/>
                <w:lang w:val="en-US" w:eastAsia="zh-CN"/>
              </w:rPr>
              <w:t>20日</w:t>
            </w:r>
            <w:r>
              <w:rPr>
                <w:rFonts w:hint="eastAsia"/>
                <w:color w:val="auto"/>
                <w:highlight w:val="none"/>
                <w:u w:val="single"/>
              </w:rPr>
              <w:t>组织进行了合规性评价</w:t>
            </w:r>
            <w:r>
              <w:rPr>
                <w:rFonts w:hint="eastAsia"/>
                <w:color w:val="auto"/>
                <w:highlight w:val="none"/>
                <w:u w:val="single"/>
                <w:lang w:eastAsia="zh-CN"/>
              </w:rPr>
              <w:t>，</w:t>
            </w:r>
            <w:r>
              <w:rPr>
                <w:rFonts w:hint="eastAsia"/>
                <w:color w:val="auto"/>
                <w:highlight w:val="none"/>
                <w:u w:val="single"/>
              </w:rPr>
              <w:t>有评价记录</w:t>
            </w:r>
            <w:r>
              <w:rPr>
                <w:rFonts w:hint="eastAsia"/>
                <w:color w:val="auto"/>
                <w:highlight w:val="none"/>
                <w:u w:val="single"/>
                <w:lang w:eastAsia="zh-CN"/>
              </w:rPr>
              <w:t>。</w:t>
            </w:r>
          </w:p>
          <w:p>
            <w:pPr>
              <w:shd w:val="clear" w:color="auto" w:fill="EBF1DE" w:themeFill="accent3" w:themeFillTint="32"/>
              <w:rPr>
                <w:color w:val="auto"/>
                <w:highlight w:val="none"/>
              </w:rPr>
            </w:pPr>
            <w:r>
              <w:rPr>
                <w:rFonts w:hint="eastAsia" w:ascii="Wingdings" w:hAnsi="Wingdings"/>
                <w:color w:val="auto"/>
                <w:highlight w:val="none"/>
              </w:rPr>
              <w:t>□</w:t>
            </w:r>
            <w:r>
              <w:rPr>
                <w:rFonts w:hint="eastAsia"/>
                <w:color w:val="auto"/>
                <w:highlight w:val="none"/>
              </w:rPr>
              <w:t>特殊情况（法规变化）：</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color w:val="auto"/>
              </w:rPr>
              <w:t>策划</w:t>
            </w:r>
            <w:r>
              <w:rPr>
                <w:rFonts w:hint="eastAsia"/>
                <w:color w:val="auto"/>
                <w:highlight w:val="none"/>
              </w:rPr>
              <w:t>于</w:t>
            </w:r>
            <w:r>
              <w:rPr>
                <w:rFonts w:hint="eastAsia"/>
                <w:color w:val="auto"/>
                <w:highlight w:val="none"/>
                <w:u w:val="single"/>
              </w:rPr>
              <w:t>202</w:t>
            </w:r>
            <w:r>
              <w:rPr>
                <w:rFonts w:hint="eastAsia"/>
                <w:color w:val="auto"/>
                <w:highlight w:val="none"/>
                <w:u w:val="single"/>
                <w:lang w:val="en-US" w:eastAsia="zh-CN"/>
              </w:rPr>
              <w:t>2</w:t>
            </w:r>
            <w:r>
              <w:rPr>
                <w:rFonts w:hint="eastAsia"/>
                <w:color w:val="auto"/>
                <w:highlight w:val="none"/>
                <w:u w:val="single"/>
              </w:rPr>
              <w:t>年</w:t>
            </w:r>
            <w:r>
              <w:rPr>
                <w:rFonts w:hint="eastAsia"/>
                <w:color w:val="auto"/>
                <w:highlight w:val="none"/>
                <w:u w:val="single"/>
                <w:lang w:val="en-US" w:eastAsia="zh-CN"/>
              </w:rPr>
              <w:t>12</w:t>
            </w:r>
            <w:r>
              <w:rPr>
                <w:rFonts w:hint="eastAsia"/>
                <w:color w:val="auto"/>
                <w:highlight w:val="none"/>
                <w:u w:val="single"/>
              </w:rPr>
              <w:t>月</w:t>
            </w:r>
            <w:r>
              <w:rPr>
                <w:rFonts w:hint="eastAsia"/>
                <w:color w:val="auto"/>
                <w:highlight w:val="none"/>
                <w:u w:val="single"/>
                <w:lang w:val="en-US" w:eastAsia="zh-CN"/>
              </w:rPr>
              <w:t>20</w:t>
            </w:r>
            <w:r>
              <w:rPr>
                <w:rFonts w:hint="eastAsia"/>
                <w:color w:val="auto"/>
                <w:highlight w:val="none"/>
                <w:u w:val="single"/>
              </w:rPr>
              <w:t>日</w:t>
            </w:r>
            <w:r>
              <w:rPr>
                <w:rFonts w:hint="eastAsia"/>
                <w:color w:val="auto"/>
                <w:highlight w:val="none"/>
              </w:rPr>
              <w:t>实施了环境管理体系内部审核，对环境管理体系的符合性和有效性进行了审核。内审发现的 1 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w:t>
            </w:r>
            <w:r>
              <w:rPr>
                <w:rFonts w:hint="eastAsia"/>
                <w:highlight w:val="none"/>
              </w:rPr>
              <w:t>策划的时间间隔</w:t>
            </w:r>
            <w:r>
              <w:rPr>
                <w:rFonts w:hint="eastAsia"/>
                <w:color w:val="auto"/>
                <w:highlight w:val="none"/>
              </w:rPr>
              <w:t>，在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日</w:t>
            </w:r>
            <w:r>
              <w:rPr>
                <w:rFonts w:hint="eastAsia"/>
                <w:color w:val="auto"/>
                <w:highlight w:val="none"/>
              </w:rPr>
              <w:t>对组织的环境管理体系进行了评审，以确保其持续的适宜性、充分性和有效性；管理评审输入、输出均按要求</w:t>
            </w:r>
            <w:r>
              <w:rPr>
                <w:rFonts w:hint="eastAsia"/>
                <w:highlight w:val="none"/>
              </w:rPr>
              <w:t>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lang w:eastAsia="zh-CN"/>
              </w:rPr>
              <w:t>□</w:t>
            </w:r>
            <w:r>
              <w:rPr>
                <w:rFonts w:hint="eastAsia"/>
              </w:rPr>
              <w:t xml:space="preserve">不合格产品/服务 □自我验证的结果  □顾客投诉  </w:t>
            </w:r>
            <w:r>
              <w:rPr>
                <w:rFonts w:hint="eastAsia"/>
                <w:lang w:eastAsia="zh-CN"/>
              </w:rPr>
              <w:t>□</w:t>
            </w:r>
            <w:r>
              <w:rPr>
                <w:rFonts w:hint="eastAsia"/>
              </w:rPr>
              <w:t xml:space="preserve">顾客满意调查 </w:t>
            </w:r>
          </w:p>
          <w:p>
            <w:pPr>
              <w:shd w:val="clear" w:color="auto" w:fill="EBF1DE" w:themeFill="accent3" w:themeFillTint="32"/>
            </w:pPr>
            <w:r>
              <w:rPr>
                <w:rFonts w:hint="eastAsia"/>
              </w:rPr>
              <w:t xml:space="preserve">■内审不符合项   </w:t>
            </w:r>
            <w:r>
              <w:rPr>
                <w:rFonts w:hint="eastAsia" w:ascii="宋体" w:hAnsi="宋体" w:cs="宋体"/>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ascii="宋体" w:hAnsi="宋体" w:cs="宋体"/>
                <w:lang w:eastAsia="zh-CN"/>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8"/>
        <w:tblpPr w:leftFromText="180" w:rightFromText="180" w:vertAnchor="text" w:horzAnchor="page" w:tblpX="1185" w:tblpY="290"/>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4.2</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4.3</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4.4</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5.3</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6.1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6.2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lang w:val="en-GB"/>
              </w:rPr>
              <w:t>评价*)</w:t>
            </w:r>
          </w:p>
        </w:tc>
        <w:tc>
          <w:tcPr>
            <w:tcW w:w="779" w:type="dxa"/>
            <w:shd w:val="clear" w:color="auto" w:fill="EBF1DE" w:themeFill="accent3" w:themeFillTint="32"/>
            <w:vAlign w:val="center"/>
          </w:tcPr>
          <w:p>
            <w:pPr>
              <w:shd w:val="clear" w:color="auto" w:fill="EBF1DE" w:themeFill="accent3" w:themeFillTint="32"/>
              <w:rPr>
                <w:color w:val="auto"/>
                <w:highlight w:val="none"/>
              </w:rPr>
            </w:pPr>
            <w:r>
              <w:rPr>
                <w:rFonts w:hint="eastAsia"/>
                <w:color w:val="auto"/>
                <w:highlight w:val="none"/>
              </w:rPr>
              <w:t>1</w:t>
            </w:r>
          </w:p>
        </w:tc>
        <w:tc>
          <w:tcPr>
            <w:tcW w:w="780" w:type="dxa"/>
            <w:shd w:val="clear" w:color="auto" w:fill="EBF1DE" w:themeFill="accent3" w:themeFillTint="32"/>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不符合数量</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7.3</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7.4</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7.5</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8.1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8.2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9.3</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lang w:val="en-GB"/>
              </w:rPr>
              <w:t>评价*)</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不符合数量</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pacing w:before="40" w:after="40"/>
            </w:pPr>
            <w:r>
              <w:rPr>
                <w:rFonts w:hint="eastAsia"/>
              </w:rPr>
              <w:t xml:space="preserve">■安全作业控制  □职业危害管理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Times New Roman" w:hAnsi="Times New Roman" w:eastAsia="宋体" w:cs="Times New Roman"/>
                <w:lang w:val="en-US" w:eastAsia="zh-CN"/>
              </w:rPr>
              <w:t>无</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500" w:lineRule="exact"/>
            </w:pPr>
            <w:r>
              <w:rPr>
                <w:rFonts w:hint="eastAsia"/>
              </w:rPr>
              <w:t>最高管理者制定了文件化的职业健康安全管理体系方针：</w:t>
            </w:r>
          </w:p>
          <w:p>
            <w:pPr>
              <w:spacing w:line="360" w:lineRule="auto"/>
              <w:rPr>
                <w:rFonts w:hint="eastAsia"/>
                <w:b/>
                <w:bCs/>
              </w:rPr>
            </w:pPr>
            <w:r>
              <w:rPr>
                <w:rFonts w:hint="eastAsia"/>
                <w:b/>
                <w:bCs/>
              </w:rPr>
              <w:t>预防为主，遵规守法，确保环境安全；以人为本，持续改进，实现平安和谐。</w:t>
            </w:r>
          </w:p>
          <w:p>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职业健康的主管部门是——行政部</w:t>
            </w:r>
          </w:p>
          <w:p>
            <w:r>
              <w:rPr>
                <w:rFonts w:hint="eastAsia"/>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组织建立了参与和协商的机制，由所有相关层次和职能部门的员工和员工代表参与（包括协商）建立、策划、实施、评价和改进职业健康安全管理体系。</w:t>
            </w:r>
          </w:p>
          <w:p>
            <w:pPr>
              <w:rPr>
                <w:color w:val="FF0000"/>
              </w:rPr>
            </w:pPr>
            <w:r>
              <w:rPr>
                <w:rFonts w:hint="eastAsia"/>
                <w:color w:val="auto"/>
              </w:rPr>
              <w:t>员工代表是</w:t>
            </w:r>
            <w:r>
              <w:rPr>
                <w:rFonts w:hint="eastAsia"/>
                <w:color w:val="auto"/>
                <w:highlight w:val="none"/>
              </w:rPr>
              <w:t>——</w:t>
            </w:r>
            <w:r>
              <w:rPr>
                <w:rFonts w:hint="eastAsia" w:ascii="宋体" w:hAnsi="宋体" w:cs="宋体"/>
                <w:color w:val="auto"/>
                <w:szCs w:val="21"/>
                <w:highlight w:val="none"/>
                <w:lang w:eastAsia="zh-CN"/>
              </w:rPr>
              <w:t>黄建兴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pPr>
                    <w:rPr>
                      <w:highlight w:val="none"/>
                    </w:rPr>
                  </w:pPr>
                  <w:r>
                    <w:rPr>
                      <w:rFonts w:hint="eastAsia"/>
                      <w:highlight w:val="none"/>
                    </w:rPr>
                    <w:t>火灾</w:t>
                  </w:r>
                </w:p>
              </w:tc>
              <w:tc>
                <w:tcPr>
                  <w:tcW w:w="4050" w:type="dxa"/>
                </w:tcPr>
                <w:p>
                  <w:pPr>
                    <w:rPr>
                      <w:highlight w:val="none"/>
                    </w:rPr>
                  </w:pPr>
                  <w:r>
                    <w:rPr>
                      <w:rFonts w:hint="eastAsia"/>
                      <w:highlight w:val="none"/>
                    </w:rPr>
                    <w:t>通过管理方案和预案措施、应急演练进行管理</w:t>
                  </w:r>
                </w:p>
              </w:tc>
              <w:tc>
                <w:tcPr>
                  <w:tcW w:w="1717"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pPr>
                    <w:rPr>
                      <w:highlight w:val="none"/>
                    </w:rPr>
                  </w:pPr>
                  <w:r>
                    <w:rPr>
                      <w:rFonts w:hint="eastAsia"/>
                      <w:highlight w:val="none"/>
                    </w:rPr>
                    <w:t>意外伤害</w:t>
                  </w:r>
                </w:p>
              </w:tc>
              <w:tc>
                <w:tcPr>
                  <w:tcW w:w="4050" w:type="dxa"/>
                </w:tcPr>
                <w:p>
                  <w:pPr>
                    <w:rPr>
                      <w:highlight w:val="none"/>
                    </w:rPr>
                  </w:pPr>
                  <w:r>
                    <w:rPr>
                      <w:rFonts w:hint="eastAsia"/>
                      <w:highlight w:val="none"/>
                    </w:rPr>
                    <w:t>通过管理方案进行管理</w:t>
                  </w:r>
                </w:p>
              </w:tc>
              <w:tc>
                <w:tcPr>
                  <w:tcW w:w="1717"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tc>
              <w:tc>
                <w:tcPr>
                  <w:tcW w:w="405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  □触电 □化学伤害  □噪声 □粉尘  □危险作业 □高低温  □危化品泄露 □压力容器爆炸  ■火灾  ■其他：意外伤害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pStyle w:val="2"/>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028"/>
              <w:gridCol w:w="130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r>
                    <w:rPr>
                      <w:rFonts w:hint="eastAsia"/>
                    </w:rPr>
                    <w:t>职业健康安全目标</w:t>
                  </w:r>
                </w:p>
              </w:tc>
              <w:tc>
                <w:tcPr>
                  <w:tcW w:w="3028" w:type="dxa"/>
                  <w:shd w:val="clear" w:color="auto" w:fill="auto"/>
                </w:tcPr>
                <w:p>
                  <w:r>
                    <w:rPr>
                      <w:rFonts w:hint="eastAsia"/>
                    </w:rPr>
                    <w:t>控制措施</w:t>
                  </w:r>
                </w:p>
              </w:tc>
              <w:tc>
                <w:tcPr>
                  <w:tcW w:w="1300" w:type="dxa"/>
                  <w:shd w:val="clear" w:color="auto" w:fill="auto"/>
                </w:tcPr>
                <w:p>
                  <w:r>
                    <w:rPr>
                      <w:rFonts w:hint="eastAsia"/>
                    </w:rPr>
                    <w:t>责任部门</w:t>
                  </w:r>
                </w:p>
              </w:tc>
              <w:tc>
                <w:tcPr>
                  <w:tcW w:w="1703"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rPr>
                    <w:t>火灾发生率为0</w:t>
                  </w:r>
                </w:p>
              </w:tc>
              <w:tc>
                <w:tcPr>
                  <w:tcW w:w="3028" w:type="dxa"/>
                  <w:shd w:val="clear" w:color="auto" w:fill="auto"/>
                  <w:vAlign w:val="center"/>
                </w:tcPr>
                <w:p>
                  <w:r>
                    <w:rPr>
                      <w:rFonts w:hint="eastAsia"/>
                    </w:rPr>
                    <w:t>通过管理方案和预案措施、应急演练进行管理</w:t>
                  </w:r>
                </w:p>
              </w:tc>
              <w:tc>
                <w:tcPr>
                  <w:tcW w:w="1300" w:type="dxa"/>
                  <w:shd w:val="clear" w:color="auto" w:fill="auto"/>
                  <w:vAlign w:val="center"/>
                </w:tcPr>
                <w:p>
                  <w:r>
                    <w:rPr>
                      <w:rFonts w:hint="eastAsia"/>
                    </w:rPr>
                    <w:t>各部门</w:t>
                  </w:r>
                </w:p>
              </w:tc>
              <w:tc>
                <w:tcPr>
                  <w:tcW w:w="1703" w:type="dxa"/>
                  <w:shd w:val="clear" w:color="auto" w:fill="auto"/>
                  <w:vAlign w:val="center"/>
                </w:tcPr>
                <w:p>
                  <w:pPr>
                    <w:jc w:val="center"/>
                    <w:rPr>
                      <w:rFonts w:hint="default" w:eastAsia="宋体"/>
                      <w:lang w:val="en-US" w:eastAsia="zh-CN"/>
                    </w:rPr>
                  </w:pPr>
                  <w:r>
                    <w:rPr>
                      <w:rFonts w:hint="eastAsia"/>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tabs>
                      <w:tab w:val="left" w:pos="-900"/>
                      <w:tab w:val="left" w:pos="945"/>
                    </w:tabs>
                    <w:spacing w:line="360" w:lineRule="auto"/>
                    <w:rPr>
                      <w:rFonts w:hint="eastAsia"/>
                    </w:rPr>
                  </w:pPr>
                  <w:r>
                    <w:rPr>
                      <w:rFonts w:hint="eastAsia"/>
                    </w:rPr>
                    <w:t>员工意外伤害为0</w:t>
                  </w:r>
                </w:p>
                <w:p/>
              </w:tc>
              <w:tc>
                <w:tcPr>
                  <w:tcW w:w="3028" w:type="dxa"/>
                  <w:shd w:val="clear" w:color="auto" w:fill="auto"/>
                  <w:vAlign w:val="center"/>
                </w:tcPr>
                <w:p>
                  <w:r>
                    <w:rPr>
                      <w:rFonts w:hint="eastAsia"/>
                    </w:rPr>
                    <w:t>通过管理方案和预案措施进行管理</w:t>
                  </w:r>
                </w:p>
              </w:tc>
              <w:tc>
                <w:tcPr>
                  <w:tcW w:w="1300" w:type="dxa"/>
                  <w:shd w:val="clear" w:color="auto" w:fill="auto"/>
                  <w:vAlign w:val="center"/>
                </w:tcPr>
                <w:p>
                  <w:r>
                    <w:rPr>
                      <w:rFonts w:hint="eastAsia"/>
                    </w:rPr>
                    <w:t>各部门</w:t>
                  </w:r>
                </w:p>
              </w:tc>
              <w:tc>
                <w:tcPr>
                  <w:tcW w:w="1703" w:type="dxa"/>
                  <w:shd w:val="clear" w:color="auto" w:fill="auto"/>
                  <w:vAlign w:val="center"/>
                </w:tcPr>
                <w:p>
                  <w:pPr>
                    <w:rPr>
                      <w:rFonts w:hint="default" w:eastAsia="宋体"/>
                      <w:lang w:val="en-US" w:eastAsia="zh-CN"/>
                    </w:rPr>
                  </w:pPr>
                  <w:r>
                    <w:rPr>
                      <w:rFonts w:hint="eastAsia"/>
                      <w:lang w:val="en-US" w:eastAsia="zh-CN"/>
                    </w:rPr>
                    <w:t>未发生</w:t>
                  </w:r>
                  <w:r>
                    <w:rPr>
                      <w:rFonts w:hint="eastAsia"/>
                    </w:rPr>
                    <w:t>意外伤害</w:t>
                  </w:r>
                  <w:r>
                    <w:rPr>
                      <w:rFonts w:hint="eastAsia"/>
                      <w:lang w:val="en-US" w:eastAsia="zh-CN"/>
                    </w:rPr>
                    <w:t>事件或事故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widowControl/>
                    <w:jc w:val="left"/>
                    <w:textAlignment w:val="center"/>
                  </w:pPr>
                </w:p>
              </w:tc>
              <w:tc>
                <w:tcPr>
                  <w:tcW w:w="3028" w:type="dxa"/>
                  <w:shd w:val="clear" w:color="auto" w:fill="auto"/>
                  <w:vAlign w:val="center"/>
                </w:tcPr>
                <w:p/>
              </w:tc>
              <w:tc>
                <w:tcPr>
                  <w:tcW w:w="1300" w:type="dxa"/>
                  <w:shd w:val="clear" w:color="auto" w:fill="auto"/>
                  <w:vAlign w:val="center"/>
                </w:tcPr>
                <w:p/>
              </w:tc>
              <w:tc>
                <w:tcPr>
                  <w:tcW w:w="1703"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p>
              </w:tc>
              <w:tc>
                <w:tcPr>
                  <w:tcW w:w="3028" w:type="dxa"/>
                  <w:shd w:val="clear" w:color="auto" w:fill="auto"/>
                  <w:vAlign w:val="center"/>
                </w:tcPr>
                <w:p>
                  <w:pPr>
                    <w:rPr>
                      <w:rFonts w:asciiTheme="minorEastAsia" w:hAnsiTheme="minorEastAsia" w:eastAsiaTheme="minorEastAsia"/>
                      <w:szCs w:val="21"/>
                    </w:rPr>
                  </w:pPr>
                </w:p>
              </w:tc>
              <w:tc>
                <w:tcPr>
                  <w:tcW w:w="1300" w:type="dxa"/>
                  <w:shd w:val="clear" w:color="auto" w:fill="auto"/>
                  <w:vAlign w:val="center"/>
                </w:tcPr>
                <w:p>
                  <w:pPr>
                    <w:rPr>
                      <w:rFonts w:ascii="宋体" w:hAnsi="宋体"/>
                    </w:rPr>
                  </w:pPr>
                </w:p>
              </w:tc>
              <w:tc>
                <w:tcPr>
                  <w:tcW w:w="1703"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办公场所共约300平方米；</w:t>
            </w:r>
            <w:r>
              <w:rPr>
                <w:rFonts w:hint="eastAsia" w:ascii="Times New Roman" w:hAnsi="Times New Roman" w:eastAsia="宋体" w:cs="Times New Roman"/>
                <w:color w:val="auto"/>
                <w:lang w:val="en-US" w:eastAsia="zh-CN"/>
              </w:rPr>
              <w:t>服务</w:t>
            </w:r>
            <w:r>
              <w:rPr>
                <w:rFonts w:hint="eastAsia" w:ascii="Times New Roman" w:hAnsi="Times New Roman" w:eastAsia="宋体" w:cs="Times New Roman"/>
                <w:color w:val="auto"/>
              </w:rPr>
              <w:t>场所1个；库房 1  个；实验室   个；</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主要生产设备有：电脑、打印机、门位岗亭、对讲机、保安服、消防栓、灭火器、手电等，工程维修维护配置了维修工具(万用表、</w:t>
            </w:r>
            <w:r>
              <w:rPr>
                <w:rFonts w:hint="eastAsia" w:ascii="Times New Roman" w:hAnsi="Times New Roman" w:eastAsia="宋体" w:cs="Times New Roman"/>
                <w:color w:val="auto"/>
                <w:lang w:val="en-US" w:eastAsia="zh-CN"/>
              </w:rPr>
              <w:t>兆欧表、</w:t>
            </w:r>
            <w:r>
              <w:rPr>
                <w:rFonts w:hint="eastAsia" w:ascii="Times New Roman" w:hAnsi="Times New Roman" w:eastAsia="宋体" w:cs="Times New Roman"/>
                <w:color w:val="auto"/>
              </w:rPr>
              <w:t>电工刀、螺丝刀、夹线钳等</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rPr>
              <w:t>□急停按钮</w:t>
            </w:r>
            <w:r>
              <w:rPr>
                <w:rFonts w:hint="eastAsia"/>
                <w:color w:val="auto"/>
              </w:rPr>
              <w:t xml:space="preserve"> </w:t>
            </w:r>
            <w:r>
              <w:rPr>
                <w:rFonts w:hint="eastAsia" w:ascii="Wingdings" w:hAnsi="Wingdings"/>
                <w:color w:val="auto"/>
              </w:rPr>
              <w:t>□</w:t>
            </w:r>
            <w:r>
              <w:rPr>
                <w:rFonts w:hint="eastAsia"/>
                <w:color w:val="auto"/>
              </w:rPr>
              <w:t xml:space="preserve">光栅 </w:t>
            </w:r>
            <w:r>
              <w:rPr>
                <w:rFonts w:hint="eastAsia" w:ascii="Wingdings" w:hAnsi="Wingdings"/>
                <w:color w:val="auto"/>
              </w:rPr>
              <w:t>□</w:t>
            </w:r>
            <w:r>
              <w:rPr>
                <w:rFonts w:hint="eastAsia"/>
                <w:color w:val="auto"/>
              </w:rPr>
              <w:t xml:space="preserve">联锁装置  </w:t>
            </w:r>
            <w:r>
              <w:rPr>
                <w:rFonts w:hint="eastAsia" w:ascii="Wingdings" w:hAnsi="Wingdings"/>
                <w:color w:val="auto"/>
              </w:rPr>
              <w:t>■</w:t>
            </w:r>
            <w:r>
              <w:rPr>
                <w:rFonts w:hint="eastAsia"/>
                <w:color w:val="auto"/>
              </w:rPr>
              <w:t xml:space="preserve">漏电开关 </w:t>
            </w:r>
            <w:r>
              <w:rPr>
                <w:rFonts w:hint="eastAsia" w:ascii="Wingdings" w:hAnsi="Wingdings"/>
                <w:color w:val="auto"/>
              </w:rPr>
              <w:t>□</w:t>
            </w:r>
            <w:r>
              <w:rPr>
                <w:rFonts w:hint="eastAsia"/>
                <w:color w:val="auto"/>
              </w:rPr>
              <w:t xml:space="preserve">报警系统  </w:t>
            </w:r>
            <w:r>
              <w:rPr>
                <w:rFonts w:hint="eastAsia" w:ascii="Wingdings" w:hAnsi="Wingdings"/>
                <w:color w:val="auto"/>
                <w:lang w:eastAsia="zh-CN"/>
              </w:rPr>
              <w:t>■</w:t>
            </w:r>
            <w:r>
              <w:rPr>
                <w:rFonts w:hint="eastAsia"/>
                <w:color w:val="auto"/>
              </w:rPr>
              <w:t xml:space="preserve">消防系统  </w:t>
            </w:r>
            <w:r>
              <w:rPr>
                <w:rFonts w:hint="eastAsia" w:ascii="Wingdings" w:hAnsi="Wingdings"/>
                <w:color w:val="auto"/>
              </w:rPr>
              <w:t>□</w:t>
            </w:r>
            <w:r>
              <w:rPr>
                <w:rFonts w:hint="eastAsia"/>
                <w:color w:val="auto"/>
              </w:rPr>
              <w:t xml:space="preserve">不适用 </w:t>
            </w:r>
          </w:p>
          <w:p>
            <w:pPr>
              <w:rPr>
                <w:color w:val="auto"/>
              </w:rPr>
            </w:pPr>
            <w:r>
              <w:rPr>
                <w:rFonts w:hint="eastAsia"/>
                <w:color w:val="auto"/>
              </w:rPr>
              <w:t xml:space="preserve">特种设备： </w:t>
            </w:r>
            <w:r>
              <w:rPr>
                <w:rFonts w:hint="eastAsia" w:ascii="宋体" w:hAnsi="宋体" w:cs="宋体"/>
                <w:color w:val="auto"/>
                <w:lang w:val="en-US" w:eastAsia="zh-CN"/>
              </w:rPr>
              <w:t>无</w:t>
            </w:r>
            <w:r>
              <w:rPr>
                <w:rFonts w:hint="eastAsia"/>
                <w:color w:val="auto"/>
              </w:rPr>
              <w:t xml:space="preserve">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color w:val="auto"/>
              </w:rPr>
            </w:pPr>
            <w:r>
              <w:rPr>
                <w:rFonts w:hint="eastAsia"/>
              </w:rPr>
              <w:t>对</w:t>
            </w:r>
            <w:r>
              <w:rPr>
                <w:rFonts w:hint="eastAsia"/>
                <w:color w:val="auto"/>
              </w:rPr>
              <w:t>国家规定持证上岗的人员资质进行了有效的管理。</w:t>
            </w:r>
          </w:p>
          <w:p>
            <w:pPr>
              <w:rPr>
                <w:color w:val="auto"/>
              </w:rPr>
            </w:pPr>
            <w:r>
              <w:rPr>
                <w:rFonts w:hint="eastAsia"/>
                <w:color w:val="auto"/>
              </w:rPr>
              <w:t xml:space="preserve">特种作业人员：■电工 □焊工  □危化品作业  □制冷工   □其他  </w:t>
            </w:r>
          </w:p>
          <w:p>
            <w:r>
              <w:rPr>
                <w:rFonts w:hint="eastAsia"/>
                <w:color w:val="auto"/>
              </w:rPr>
              <w:t xml:space="preserve">特种设备作业人员：□叉车工 □行车工  □锅炉工  □压力容器   □其他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组织已确定与职业健康安全管理体系相关的内部和外部沟通。</w:t>
            </w:r>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pPr>
              <w:rPr>
                <w:rFonts w:hint="eastAsia"/>
              </w:rPr>
            </w:pP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组织建立、实施和保持了适当的设计和开发过程，以确保后续的产品和服务的提供中满足职业健康安全相关的法律法规。（不适用）</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宋体" w:hAnsi="宋体" w:eastAsia="宋体" w:cs="宋体"/>
              </w:rPr>
              <w:t>■</w:t>
            </w:r>
            <w:r>
              <w:rPr>
                <w:rFonts w:hint="eastAsia"/>
              </w:rPr>
              <w:t xml:space="preserve">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暴力伤害</w:t>
                  </w:r>
                </w:p>
              </w:tc>
              <w:tc>
                <w:tcPr>
                  <w:tcW w:w="4957" w:type="dxa"/>
                </w:tcPr>
                <w:p>
                  <w:pPr>
                    <w:jc w:val="left"/>
                  </w:pPr>
                  <w:r>
                    <w:rPr>
                      <w:rFonts w:hint="eastAsia" w:ascii="Wingdings" w:hAnsi="Wingdings"/>
                    </w:rPr>
                    <w:t>■</w:t>
                  </w:r>
                  <w:r>
                    <w:rPr>
                      <w:rFonts w:hint="eastAsia"/>
                    </w:rPr>
                    <w:t xml:space="preserve">安全防护装置 </w:t>
                  </w:r>
                  <w:r>
                    <w:rPr>
                      <w:rFonts w:hint="eastAsia" w:ascii="Wingdings" w:hAnsi="Wingdings"/>
                    </w:rPr>
                    <w:t>■</w:t>
                  </w:r>
                  <w:r>
                    <w:rPr>
                      <w:rFonts w:hint="eastAsia"/>
                    </w:rPr>
                    <w:t>应急预案</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触电</w:t>
                  </w:r>
                </w:p>
              </w:tc>
              <w:tc>
                <w:tcPr>
                  <w:tcW w:w="4957" w:type="dxa"/>
                </w:tcPr>
                <w:p>
                  <w:pPr>
                    <w:jc w:val="left"/>
                  </w:pPr>
                  <w:r>
                    <w:rPr>
                      <w:rFonts w:hint="eastAsia" w:ascii="Wingdings" w:hAnsi="Wingdings"/>
                    </w:rPr>
                    <w:t>■</w:t>
                  </w: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交通事故</w:t>
                  </w:r>
                </w:p>
              </w:tc>
              <w:tc>
                <w:tcPr>
                  <w:tcW w:w="4957" w:type="dxa"/>
                </w:tcPr>
                <w:p>
                  <w:pPr>
                    <w:jc w:val="left"/>
                  </w:pPr>
                  <w:r>
                    <w:rPr>
                      <w:rFonts w:hint="eastAsia" w:ascii="Wingdings" w:hAnsi="Wingdings"/>
                    </w:rPr>
                    <w:t>■</w:t>
                  </w:r>
                  <w:r>
                    <w:rPr>
                      <w:rFonts w:hint="eastAsia"/>
                    </w:rPr>
                    <w:t>安全教育  □穿戴劳保用品（防尘面罩）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ascii="Wingdings" w:hAnsi="Wingdings"/>
                    </w:rPr>
                    <w:t>■</w:t>
                  </w: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jc w:val="left"/>
                  </w:pPr>
                </w:p>
              </w:tc>
              <w:tc>
                <w:tcPr>
                  <w:tcW w:w="4957" w:type="dxa"/>
                </w:tcPr>
                <w:p>
                  <w:pPr>
                    <w:jc w:val="left"/>
                  </w:pPr>
                </w:p>
              </w:tc>
              <w:tc>
                <w:tcPr>
                  <w:tcW w:w="1698"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□未进行定期检验的有：                 </w:t>
            </w:r>
          </w:p>
          <w:p>
            <w:pPr>
              <w:jc w:val="left"/>
            </w:pPr>
            <w:r>
              <w:rPr>
                <w:rFonts w:hint="eastAsia" w:ascii="Times New Roman" w:hAnsi="Times New Roman" w:eastAsia="宋体" w:cs="Times New Roman"/>
              </w:rPr>
              <w:t>特种设备检测报告，如：  见附件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rPr>
              <w:t>□MSDS</w:t>
            </w:r>
            <w:r>
              <w:rPr>
                <w:rFonts w:hint="eastAsia"/>
              </w:rPr>
              <w:t xml:space="preserve">□危害告知标牌  </w:t>
            </w:r>
            <w:r>
              <w:rPr>
                <w:rFonts w:hint="eastAsia" w:ascii="Wingdings" w:hAnsi="Wingdings"/>
              </w:rPr>
              <w:t>□</w:t>
            </w:r>
            <w:r>
              <w:rPr>
                <w:rFonts w:hint="eastAsia"/>
              </w:rPr>
              <w:t>其他</w:t>
            </w:r>
          </w:p>
          <w:p>
            <w:pPr>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cs="宋体"/>
                <w:lang w:eastAsia="zh-CN"/>
              </w:rPr>
              <w:t>□</w:t>
            </w:r>
            <w:r>
              <w:rPr>
                <w:rFonts w:hint="eastAsia"/>
              </w:rPr>
              <w:t>其他：</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pPr>
              <w:rPr>
                <w:highlight w:val="none"/>
              </w:rPr>
            </w:pPr>
            <w:r>
              <w:rPr>
                <w:rFonts w:hint="eastAsia"/>
                <w:color w:val="auto"/>
                <w:highlight w:val="none"/>
              </w:rPr>
              <w:t>于</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1</w:t>
            </w:r>
            <w:r>
              <w:rPr>
                <w:rFonts w:hint="eastAsia"/>
                <w:color w:val="auto"/>
                <w:highlight w:val="none"/>
                <w:u w:val="single"/>
              </w:rPr>
              <w:t>月</w:t>
            </w:r>
            <w:r>
              <w:rPr>
                <w:rFonts w:hint="eastAsia"/>
                <w:color w:val="auto"/>
                <w:highlight w:val="none"/>
                <w:u w:val="single"/>
                <w:lang w:val="en-US" w:eastAsia="zh-CN"/>
              </w:rPr>
              <w:t>5</w:t>
            </w:r>
            <w:r>
              <w:rPr>
                <w:rFonts w:hint="eastAsia"/>
                <w:color w:val="auto"/>
                <w:highlight w:val="none"/>
                <w:u w:val="single"/>
              </w:rPr>
              <w:t>日</w:t>
            </w:r>
            <w:r>
              <w:rPr>
                <w:rFonts w:hint="eastAsia"/>
                <w:color w:val="auto"/>
                <w:highlight w:val="none"/>
              </w:rPr>
              <w:t>进行了消防火灾演练</w:t>
            </w:r>
            <w:r>
              <w:rPr>
                <w:rFonts w:hint="eastAsia"/>
                <w:highlight w:val="none"/>
              </w:rPr>
              <w:t xml:space="preserve">；并总结了预案的可行性和有效性。 </w:t>
            </w:r>
          </w:p>
          <w:p>
            <w:pPr>
              <w:rPr>
                <w:highlight w:val="none"/>
              </w:rPr>
            </w:pPr>
            <w:r>
              <w:rPr>
                <w:rFonts w:hint="eastAsia"/>
                <w:highlight w:val="none"/>
              </w:rPr>
              <w:t xml:space="preserve">定期评审并修订过程和策划的响应措施，特别是发生紧急情况后或进行试验后； </w:t>
            </w:r>
          </w:p>
          <w:p>
            <w:pPr>
              <w:rPr>
                <w:highlight w:val="none"/>
              </w:rPr>
            </w:pPr>
            <w:r>
              <w:rPr>
                <w:rFonts w:hint="eastAsia"/>
                <w:highlight w:val="none"/>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highlight w:val="none"/>
                <w:lang w:eastAsia="zh-CN"/>
              </w:rPr>
            </w:pPr>
            <w:r>
              <w:rPr>
                <w:rFonts w:hint="eastAsia"/>
              </w:rPr>
              <w:t>■定期（每</w:t>
            </w:r>
            <w:r>
              <w:rPr>
                <w:rFonts w:hint="eastAsia"/>
                <w:color w:val="auto"/>
              </w:rPr>
              <w:t>年） ：</w:t>
            </w:r>
            <w:r>
              <w:rPr>
                <w:rFonts w:hint="eastAsia"/>
                <w:color w:val="auto"/>
                <w:highlight w:val="none"/>
              </w:rPr>
              <w:t>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20日</w:t>
            </w:r>
            <w:r>
              <w:rPr>
                <w:rFonts w:hint="eastAsia"/>
                <w:color w:val="auto"/>
                <w:highlight w:val="none"/>
              </w:rPr>
              <w:t>组织进行了合规性评价</w:t>
            </w:r>
            <w:r>
              <w:rPr>
                <w:rFonts w:hint="eastAsia"/>
                <w:color w:val="auto"/>
                <w:highlight w:val="none"/>
                <w:lang w:eastAsia="zh-CN"/>
              </w:rPr>
              <w:t>，</w:t>
            </w:r>
            <w:r>
              <w:rPr>
                <w:rFonts w:hint="eastAsia"/>
                <w:color w:val="auto"/>
                <w:highlight w:val="none"/>
              </w:rPr>
              <w:t>有评价记录</w:t>
            </w:r>
            <w:r>
              <w:rPr>
                <w:rFonts w:hint="eastAsia"/>
                <w:color w:val="auto"/>
                <w:highlight w:val="none"/>
                <w:lang w:eastAsia="zh-CN"/>
              </w:rPr>
              <w:t>。</w:t>
            </w:r>
          </w:p>
          <w:p>
            <w:pPr>
              <w:rPr>
                <w:highlight w:val="none"/>
              </w:rPr>
            </w:pPr>
            <w:r>
              <w:rPr>
                <w:rFonts w:hint="eastAsia"/>
                <w:highlight w:val="none"/>
              </w:rPr>
              <w:t xml:space="preserve">□特殊情况（法规变化）：       年  </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宋体" w:hAnsi="宋体" w:cs="宋体"/>
                <w:color w:val="auto"/>
                <w:lang w:eastAsia="zh-CN"/>
              </w:rPr>
              <w:t>□</w:t>
            </w:r>
            <w:r>
              <w:rPr>
                <w:rFonts w:hint="eastAsia"/>
                <w:color w:val="auto"/>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cs="宋体"/>
                <w:lang w:eastAsia="zh-CN"/>
              </w:rPr>
              <w:t>□</w:t>
            </w:r>
            <w:r>
              <w:rPr>
                <w:rFonts w:hint="eastAsia"/>
              </w:rPr>
              <w:t xml:space="preserve">符合要求 </w:t>
            </w:r>
            <w:r>
              <w:rPr>
                <w:rFonts w:hint="eastAsia"/>
                <w:lang w:eastAsia="zh-CN"/>
              </w:rPr>
              <w:t>■</w:t>
            </w:r>
            <w:r>
              <w:rPr>
                <w:rFonts w:hint="eastAsia"/>
              </w:rPr>
              <w:t>存在不足，</w:t>
            </w:r>
            <w:r>
              <w:rPr>
                <w:rFonts w:hint="eastAsia" w:eastAsia="宋体"/>
                <w:lang w:val="en-US" w:eastAsia="zh-CN"/>
              </w:rPr>
              <w:t>查一线员工健康体检实施情况，未能提供近期健康体检证实，已开具不符合项报告，需整改</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u w:val="single"/>
              </w:rPr>
              <w:t>202</w:t>
            </w:r>
            <w:r>
              <w:rPr>
                <w:rFonts w:hint="eastAsia" w:cs="Times New Roman"/>
                <w:highlight w:val="none"/>
                <w:u w:val="single"/>
                <w:lang w:val="en-US" w:eastAsia="zh-CN"/>
              </w:rPr>
              <w:t>2</w:t>
            </w:r>
            <w:r>
              <w:rPr>
                <w:rFonts w:hint="eastAsia" w:ascii="Times New Roman" w:hAnsi="Times New Roman" w:eastAsia="宋体" w:cs="Times New Roman"/>
                <w:highlight w:val="none"/>
                <w:u w:val="single"/>
              </w:rPr>
              <w:t>年</w:t>
            </w:r>
            <w:r>
              <w:rPr>
                <w:rFonts w:hint="eastAsia" w:ascii="Times New Roman" w:hAnsi="Times New Roman" w:eastAsia="宋体" w:cs="Times New Roman"/>
                <w:highlight w:val="none"/>
                <w:u w:val="single"/>
                <w:lang w:val="en-US" w:eastAsia="zh-CN"/>
              </w:rPr>
              <w:t>12</w:t>
            </w:r>
            <w:r>
              <w:rPr>
                <w:rFonts w:hint="eastAsia" w:ascii="Times New Roman" w:hAnsi="Times New Roman" w:eastAsia="宋体" w:cs="Times New Roman"/>
                <w:highlight w:val="none"/>
                <w:u w:val="single"/>
              </w:rPr>
              <w:t>月</w:t>
            </w:r>
            <w:r>
              <w:rPr>
                <w:rFonts w:hint="eastAsia" w:cs="Times New Roman"/>
                <w:highlight w:val="none"/>
                <w:u w:val="single"/>
                <w:lang w:val="en-US" w:eastAsia="zh-CN"/>
              </w:rPr>
              <w:t>20</w:t>
            </w:r>
            <w:r>
              <w:rPr>
                <w:rFonts w:hint="eastAsia" w:ascii="Times New Roman" w:hAnsi="Times New Roman" w:eastAsia="宋体" w:cs="Times New Roman"/>
                <w:highlight w:val="none"/>
                <w:u w:val="single"/>
              </w:rPr>
              <w:t>日</w:t>
            </w:r>
            <w:r>
              <w:rPr>
                <w:rFonts w:hint="eastAsia" w:ascii="Times New Roman" w:hAnsi="Times New Roman" w:eastAsia="宋体" w:cs="Times New Roman"/>
                <w:highlight w:val="none"/>
              </w:rPr>
              <w:t>实</w:t>
            </w:r>
            <w:r>
              <w:rPr>
                <w:rFonts w:hint="eastAsia"/>
                <w:highlight w:val="none"/>
              </w:rPr>
              <w:t>施了职业健康安全管理体系内部审核，对职业健康安全管理体系的符合性和有效性进行了审核。内审发现的 1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w:t>
            </w:r>
            <w:r>
              <w:rPr>
                <w:rFonts w:hint="eastAsia"/>
                <w:highlight w:val="none"/>
              </w:rPr>
              <w:t>时间间</w:t>
            </w:r>
            <w:r>
              <w:rPr>
                <w:rFonts w:hint="eastAsia" w:ascii="Times New Roman" w:hAnsi="Times New Roman" w:eastAsia="宋体" w:cs="Times New Roman"/>
                <w:highlight w:val="none"/>
              </w:rPr>
              <w:t>隔，在</w:t>
            </w:r>
            <w:r>
              <w:rPr>
                <w:rFonts w:hint="eastAsia" w:ascii="Times New Roman" w:hAnsi="Times New Roman" w:eastAsia="宋体" w:cs="Times New Roman"/>
                <w:highlight w:val="none"/>
                <w:u w:val="single"/>
              </w:rPr>
              <w:t>202</w:t>
            </w:r>
            <w:r>
              <w:rPr>
                <w:rFonts w:hint="eastAsia" w:cs="Times New Roman"/>
                <w:highlight w:val="none"/>
                <w:u w:val="single"/>
                <w:lang w:val="en-US" w:eastAsia="zh-CN"/>
              </w:rPr>
              <w:t>3</w:t>
            </w:r>
            <w:r>
              <w:rPr>
                <w:rFonts w:hint="eastAsia" w:ascii="Times New Roman" w:hAnsi="Times New Roman" w:eastAsia="宋体" w:cs="Times New Roman"/>
                <w:highlight w:val="none"/>
                <w:u w:val="single"/>
              </w:rPr>
              <w:t>年</w:t>
            </w:r>
            <w:r>
              <w:rPr>
                <w:rFonts w:hint="eastAsia" w:cs="Times New Roman"/>
                <w:highlight w:val="none"/>
                <w:u w:val="single"/>
                <w:lang w:val="en-US" w:eastAsia="zh-CN"/>
              </w:rPr>
              <w:t>1</w:t>
            </w:r>
            <w:r>
              <w:rPr>
                <w:rFonts w:hint="eastAsia" w:ascii="Times New Roman" w:hAnsi="Times New Roman" w:eastAsia="宋体" w:cs="Times New Roman"/>
                <w:highlight w:val="none"/>
                <w:u w:val="single"/>
              </w:rPr>
              <w:t>月</w:t>
            </w:r>
            <w:r>
              <w:rPr>
                <w:rFonts w:hint="eastAsia" w:cs="Times New Roman"/>
                <w:highlight w:val="none"/>
                <w:u w:val="single"/>
                <w:lang w:val="en-US" w:eastAsia="zh-CN"/>
              </w:rPr>
              <w:t>1</w:t>
            </w:r>
            <w:r>
              <w:rPr>
                <w:rFonts w:hint="eastAsia" w:ascii="Times New Roman" w:hAnsi="Times New Roman" w:eastAsia="宋体" w:cs="Times New Roman"/>
                <w:highlight w:val="none"/>
                <w:u w:val="single"/>
                <w:lang w:val="en-US" w:eastAsia="zh-CN"/>
              </w:rPr>
              <w:t>0</w:t>
            </w:r>
            <w:r>
              <w:rPr>
                <w:rFonts w:hint="eastAsia" w:ascii="Times New Roman" w:hAnsi="Times New Roman" w:eastAsia="宋体" w:cs="Times New Roman"/>
                <w:highlight w:val="none"/>
                <w:u w:val="single"/>
              </w:rPr>
              <w:t>日</w:t>
            </w:r>
            <w:r>
              <w:rPr>
                <w:rFonts w:hint="eastAsia" w:ascii="Times New Roman" w:hAnsi="Times New Roman" w:eastAsia="宋体" w:cs="Times New Roman"/>
                <w:highlight w:val="none"/>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t xml:space="preserve">□未遂事件   □工伤事件  □职业病体检   </w:t>
            </w:r>
            <w:r>
              <w:rPr>
                <w:rFonts w:hint="eastAsia" w:ascii="Wingdings" w:hAnsi="Wingdings"/>
              </w:rPr>
              <w:t>□</w:t>
            </w:r>
            <w:r>
              <w:rPr>
                <w:rFonts w:hint="eastAsia"/>
              </w:rPr>
              <w:t xml:space="preserve">危化品泄露  □火灾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lang w:eastAsia="zh-CN"/>
              </w:rPr>
              <w:t>□</w:t>
            </w:r>
            <w:r>
              <w:rPr>
                <w:rFonts w:hint="eastAsia" w:ascii="Wingdings" w:hAnsi="Wingdings"/>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pPr w:leftFromText="180" w:rightFromText="180" w:vertAnchor="text" w:horzAnchor="page" w:tblpX="1208" w:tblpY="326"/>
        <w:tblOverlap w:val="never"/>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4.3</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4.4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5.2</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5.3</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6.1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评价*)</w:t>
            </w:r>
          </w:p>
        </w:tc>
        <w:tc>
          <w:tcPr>
            <w:tcW w:w="768" w:type="dxa"/>
            <w:shd w:val="clear" w:color="auto" w:fill="F2DCDC" w:themeFill="accent2" w:themeFillTint="32"/>
            <w:vAlign w:val="center"/>
          </w:tcPr>
          <w:p>
            <w:pPr>
              <w:rPr>
                <w:color w:val="auto"/>
                <w:highlight w:val="none"/>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7.3</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7.4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7.5</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8.1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8.2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9.1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9.2</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评价*)</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3</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tcBorders>
              <w:bottom w:val="single" w:color="auto" w:sz="4" w:space="0"/>
            </w:tcBorders>
            <w:shd w:val="clear" w:color="auto" w:fill="F2DCDC" w:themeFill="accent2" w:themeFillTint="32"/>
            <w:vAlign w:val="center"/>
          </w:tcPr>
          <w:p>
            <w:pPr>
              <w:rPr>
                <w:color w:val="auto"/>
                <w:highlight w:val="none"/>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color w:val="auto"/>
                <w:highlight w:val="none"/>
                <w:lang w:val="en-US" w:eastAsia="zh-CN"/>
              </w:rPr>
            </w:pPr>
            <w:r>
              <w:rPr>
                <w:rFonts w:hint="eastAsia"/>
                <w:color w:val="auto"/>
                <w:highlight w:val="none"/>
                <w:lang w:val="en-US" w:eastAsia="zh-CN"/>
              </w:rPr>
              <w:t>1</w:t>
            </w:r>
          </w:p>
        </w:tc>
        <w:tc>
          <w:tcPr>
            <w:tcW w:w="768" w:type="dxa"/>
            <w:tcBorders>
              <w:bottom w:val="single" w:color="auto" w:sz="4" w:space="0"/>
            </w:tcBorders>
            <w:shd w:val="clear" w:color="auto" w:fill="F2DCDC" w:themeFill="accent2" w:themeFillTint="32"/>
            <w:vAlign w:val="center"/>
          </w:tcPr>
          <w:p>
            <w:pPr>
              <w:rPr>
                <w:color w:val="auto"/>
                <w:highlight w:val="none"/>
                <w:lang w:eastAsia="ja-JP"/>
              </w:rPr>
            </w:pPr>
          </w:p>
        </w:tc>
        <w:tc>
          <w:tcPr>
            <w:tcW w:w="769" w:type="dxa"/>
            <w:tcBorders>
              <w:bottom w:val="single" w:color="auto" w:sz="4" w:space="0"/>
            </w:tcBorders>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10.3</w:t>
            </w: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lang w:val="en-GB"/>
              </w:rPr>
              <w:t>评价*)</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highlight w:val="none"/>
                <w:lang w:eastAsia="ja-JP"/>
              </w:rPr>
            </w:pPr>
            <w:r>
              <w:rPr>
                <w:rFonts w:hint="eastAsia"/>
                <w:color w:val="auto"/>
                <w:highlight w:val="none"/>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17A54DB5"/>
    <w:rsid w:val="396A3DBD"/>
    <w:rsid w:val="3A306341"/>
    <w:rsid w:val="3D846A1A"/>
    <w:rsid w:val="7E2C238C"/>
    <w:rsid w:val="7EB22415"/>
    <w:rsid w:val="7FAC3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19985</Words>
  <Characters>21048</Characters>
  <Lines>150</Lines>
  <Paragraphs>42</Paragraphs>
  <TotalTime>11</TotalTime>
  <ScaleCrop>false</ScaleCrop>
  <LinksUpToDate>false</LinksUpToDate>
  <CharactersWithSpaces>23806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2023-03-08T12:39:45Z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