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8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过程与活动、</w:t>
            </w:r>
          </w:p>
          <w:p>
            <w:pPr>
              <w:jc w:val="center"/>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抽样计划</w:t>
            </w:r>
          </w:p>
        </w:tc>
        <w:tc>
          <w:tcPr>
            <w:tcW w:w="992" w:type="dxa"/>
            <w:vMerge w:val="restart"/>
            <w:vAlign w:val="center"/>
          </w:tcPr>
          <w:p>
            <w:pPr>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涉及</w:t>
            </w:r>
          </w:p>
          <w:p>
            <w:pPr>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条款</w:t>
            </w:r>
          </w:p>
        </w:tc>
        <w:tc>
          <w:tcPr>
            <w:tcW w:w="11836" w:type="dxa"/>
            <w:vAlign w:val="center"/>
          </w:tcPr>
          <w:p>
            <w:pPr>
              <w:rPr>
                <w:rFonts w:hint="eastAsia" w:ascii="华文楷体" w:hAnsi="华文楷体" w:eastAsia="华文楷体" w:cs="华文楷体"/>
                <w:b/>
                <w:sz w:val="21"/>
                <w:szCs w:val="21"/>
                <w:lang w:val="en-US" w:eastAsia="zh-CN"/>
              </w:rPr>
            </w:pPr>
            <w:r>
              <w:rPr>
                <w:rFonts w:hint="eastAsia" w:ascii="华文楷体" w:hAnsi="华文楷体" w:eastAsia="华文楷体" w:cs="华文楷体"/>
                <w:b/>
                <w:sz w:val="21"/>
                <w:szCs w:val="21"/>
              </w:rPr>
              <w:t>受审核部门：经营管理部</w:t>
            </w:r>
            <w:r>
              <w:rPr>
                <w:rFonts w:hint="eastAsia" w:ascii="华文楷体" w:hAnsi="华文楷体" w:eastAsia="华文楷体" w:cs="华文楷体"/>
                <w:b/>
                <w:sz w:val="21"/>
                <w:szCs w:val="21"/>
                <w:lang w:eastAsia="zh-CN"/>
              </w:rPr>
              <w:t>，</w:t>
            </w:r>
            <w:r>
              <w:rPr>
                <w:rFonts w:hint="eastAsia" w:ascii="华文楷体" w:hAnsi="华文楷体" w:eastAsia="华文楷体" w:cs="华文楷体"/>
                <w:b/>
                <w:sz w:val="21"/>
                <w:szCs w:val="21"/>
              </w:rPr>
              <w:t>主管领导</w:t>
            </w:r>
            <w:r>
              <w:rPr>
                <w:rFonts w:hint="eastAsia" w:ascii="华文楷体" w:hAnsi="华文楷体" w:eastAsia="华文楷体" w:cs="华文楷体"/>
                <w:b/>
                <w:sz w:val="21"/>
                <w:szCs w:val="21"/>
                <w:lang w:eastAsia="zh-CN"/>
              </w:rPr>
              <w:t>：</w:t>
            </w:r>
            <w:r>
              <w:rPr>
                <w:rStyle w:val="7"/>
                <w:rFonts w:hint="eastAsia" w:ascii="华文楷体" w:hAnsi="华文楷体" w:eastAsia="华文楷体" w:cs="华文楷体"/>
                <w:b w:val="0"/>
                <w:color w:val="000000"/>
                <w:sz w:val="21"/>
                <w:szCs w:val="21"/>
                <w:lang w:eastAsia="zh-CN"/>
              </w:rPr>
              <w:t>戴梓芽</w:t>
            </w:r>
            <w:r>
              <w:rPr>
                <w:rStyle w:val="7"/>
                <w:rFonts w:hint="eastAsia" w:ascii="华文楷体" w:hAnsi="华文楷体" w:eastAsia="华文楷体" w:cs="华文楷体"/>
                <w:b w:val="0"/>
                <w:color w:val="000000"/>
                <w:sz w:val="21"/>
                <w:szCs w:val="21"/>
                <w:lang w:val="en-US" w:eastAsia="zh-CN"/>
              </w:rPr>
              <w:t xml:space="preserve">  经理</w:t>
            </w:r>
            <w:r>
              <w:rPr>
                <w:rFonts w:hint="eastAsia" w:ascii="华文楷体" w:hAnsi="华文楷体" w:eastAsia="华文楷体" w:cs="华文楷体"/>
                <w:b/>
                <w:sz w:val="21"/>
                <w:szCs w:val="21"/>
              </w:rPr>
              <w:t xml:space="preserve"> </w:t>
            </w:r>
            <w:r>
              <w:rPr>
                <w:rFonts w:hint="eastAsia" w:ascii="华文楷体" w:hAnsi="华文楷体" w:eastAsia="华文楷体" w:cs="华文楷体"/>
                <w:b/>
                <w:sz w:val="21"/>
                <w:szCs w:val="21"/>
                <w:lang w:val="en-US" w:eastAsia="zh-CN"/>
              </w:rPr>
              <w:t xml:space="preserve">    </w:t>
            </w:r>
            <w:r>
              <w:rPr>
                <w:rFonts w:hint="eastAsia" w:ascii="华文楷体" w:hAnsi="华文楷体" w:eastAsia="华文楷体" w:cs="华文楷体"/>
                <w:b/>
                <w:sz w:val="21"/>
                <w:szCs w:val="21"/>
              </w:rPr>
              <w:t>陪同人员：</w:t>
            </w:r>
            <w:r>
              <w:rPr>
                <w:rFonts w:hint="eastAsia" w:ascii="华文楷体" w:hAnsi="华文楷体" w:eastAsia="华文楷体" w:cs="华文楷体"/>
                <w:b/>
                <w:sz w:val="21"/>
                <w:szCs w:val="21"/>
                <w:lang w:val="en-US" w:eastAsia="zh-CN"/>
              </w:rPr>
              <w:t>华之争</w:t>
            </w:r>
          </w:p>
        </w:tc>
        <w:tc>
          <w:tcPr>
            <w:tcW w:w="780" w:type="dxa"/>
            <w:vMerge w:val="restart"/>
            <w:vAlign w:val="center"/>
          </w:tcPr>
          <w:p>
            <w:pPr>
              <w:rPr>
                <w:rFonts w:hint="eastAsia" w:ascii="华文楷体" w:hAnsi="华文楷体" w:eastAsia="华文楷体" w:cs="华文楷体"/>
                <w:sz w:val="21"/>
                <w:szCs w:val="21"/>
              </w:rPr>
            </w:pPr>
            <w:r>
              <w:rPr>
                <w:rFonts w:hint="eastAsia" w:ascii="华文楷体" w:hAnsi="华文楷体" w:eastAsia="华文楷体" w:cs="华文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hint="eastAsia" w:ascii="华文楷体" w:hAnsi="华文楷体" w:eastAsia="华文楷体" w:cs="华文楷体"/>
                <w:b/>
                <w:sz w:val="21"/>
                <w:szCs w:val="21"/>
              </w:rPr>
            </w:pPr>
          </w:p>
        </w:tc>
        <w:tc>
          <w:tcPr>
            <w:tcW w:w="992" w:type="dxa"/>
            <w:vMerge w:val="continue"/>
            <w:vAlign w:val="center"/>
          </w:tcPr>
          <w:p>
            <w:pPr>
              <w:rPr>
                <w:rFonts w:hint="eastAsia" w:ascii="华文楷体" w:hAnsi="华文楷体" w:eastAsia="华文楷体" w:cs="华文楷体"/>
                <w:b/>
                <w:sz w:val="21"/>
                <w:szCs w:val="21"/>
              </w:rPr>
            </w:pPr>
          </w:p>
        </w:tc>
        <w:tc>
          <w:tcPr>
            <w:tcW w:w="11836" w:type="dxa"/>
            <w:vAlign w:val="center"/>
          </w:tcPr>
          <w:p>
            <w:pPr>
              <w:spacing w:before="120"/>
              <w:rPr>
                <w:rFonts w:hint="eastAsia" w:ascii="华文楷体" w:hAnsi="华文楷体" w:eastAsia="华文楷体" w:cs="华文楷体"/>
                <w:b/>
                <w:sz w:val="21"/>
                <w:szCs w:val="21"/>
                <w:lang w:val="en-US" w:eastAsia="zh-CN"/>
              </w:rPr>
            </w:pPr>
            <w:r>
              <w:rPr>
                <w:rFonts w:hint="eastAsia" w:ascii="华文楷体" w:hAnsi="华文楷体" w:eastAsia="华文楷体" w:cs="华文楷体"/>
                <w:b/>
                <w:sz w:val="21"/>
                <w:szCs w:val="21"/>
              </w:rPr>
              <w:t>审核员：</w:t>
            </w:r>
            <w:r>
              <w:rPr>
                <w:rFonts w:hint="eastAsia" w:ascii="华文楷体" w:hAnsi="华文楷体" w:eastAsia="华文楷体" w:cs="华文楷体"/>
                <w:b/>
                <w:sz w:val="21"/>
                <w:szCs w:val="21"/>
                <w:lang w:val="en-US" w:eastAsia="zh-CN"/>
              </w:rPr>
              <w:t xml:space="preserve"> 李凤仪      </w:t>
            </w:r>
            <w:r>
              <w:rPr>
                <w:rFonts w:hint="eastAsia" w:ascii="华文楷体" w:hAnsi="华文楷体" w:eastAsia="华文楷体" w:cs="华文楷体"/>
                <w:b/>
                <w:sz w:val="21"/>
                <w:szCs w:val="21"/>
              </w:rPr>
              <w:t xml:space="preserve">    审核时间：</w:t>
            </w:r>
            <w:bookmarkStart w:id="0" w:name="_GoBack"/>
            <w:r>
              <w:rPr>
                <w:rFonts w:hint="eastAsia" w:ascii="华文楷体" w:hAnsi="华文楷体" w:eastAsia="华文楷体" w:cs="华文楷体"/>
                <w:b/>
                <w:color w:val="0000FF"/>
                <w:sz w:val="21"/>
                <w:szCs w:val="21"/>
                <w:lang w:val="en-US" w:eastAsia="zh-CN"/>
              </w:rPr>
              <w:t>2023.3.10~11</w:t>
            </w:r>
            <w:bookmarkEnd w:id="0"/>
          </w:p>
        </w:tc>
        <w:tc>
          <w:tcPr>
            <w:tcW w:w="780" w:type="dxa"/>
            <w:vMerge w:val="continue"/>
          </w:tcPr>
          <w:p>
            <w:pPr>
              <w:rPr>
                <w:rFonts w:hint="eastAsia" w:ascii="华文楷体" w:hAnsi="华文楷体" w:eastAsia="华文楷体" w:cs="华文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vMerge w:val="continue"/>
            <w:vAlign w:val="center"/>
          </w:tcPr>
          <w:p>
            <w:pPr>
              <w:rPr>
                <w:rFonts w:hint="eastAsia" w:ascii="华文楷体" w:hAnsi="华文楷体" w:eastAsia="华文楷体" w:cs="华文楷体"/>
                <w:b/>
                <w:sz w:val="21"/>
                <w:szCs w:val="21"/>
              </w:rPr>
            </w:pPr>
          </w:p>
        </w:tc>
        <w:tc>
          <w:tcPr>
            <w:tcW w:w="992" w:type="dxa"/>
            <w:vMerge w:val="continue"/>
            <w:vAlign w:val="center"/>
          </w:tcPr>
          <w:p>
            <w:pPr>
              <w:rPr>
                <w:rFonts w:hint="eastAsia" w:ascii="华文楷体" w:hAnsi="华文楷体" w:eastAsia="华文楷体" w:cs="华文楷体"/>
                <w:b/>
                <w:sz w:val="21"/>
                <w:szCs w:val="21"/>
              </w:rPr>
            </w:pPr>
          </w:p>
        </w:tc>
        <w:tc>
          <w:tcPr>
            <w:tcW w:w="11836" w:type="dxa"/>
            <w:vAlign w:val="center"/>
          </w:tcPr>
          <w:p>
            <w:pPr>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审核条款：</w:t>
            </w:r>
          </w:p>
          <w:p>
            <w:pPr>
              <w:spacing w:line="300" w:lineRule="exact"/>
              <w:rPr>
                <w:rFonts w:hint="eastAsia" w:ascii="华文楷体" w:hAnsi="华文楷体" w:eastAsia="华文楷体" w:cs="华文楷体"/>
                <w:b/>
                <w:bCs/>
                <w:sz w:val="21"/>
                <w:szCs w:val="21"/>
              </w:rPr>
            </w:pPr>
            <w:r>
              <w:rPr>
                <w:rFonts w:hint="eastAsia" w:ascii="华文楷体" w:hAnsi="华文楷体" w:eastAsia="华文楷体" w:cs="华文楷体"/>
                <w:b/>
                <w:bCs/>
                <w:sz w:val="21"/>
                <w:szCs w:val="21"/>
              </w:rPr>
              <w:t>Q: 5.3(4.3)/6.2（3.2）/8.2（6.2-6.3）8.4（9.1-9.3、8.1-8.4）/9.1.2(10.7);</w:t>
            </w:r>
          </w:p>
          <w:p>
            <w:pPr>
              <w:spacing w:line="300" w:lineRule="exact"/>
              <w:rPr>
                <w:rFonts w:hint="eastAsia" w:ascii="华文楷体" w:hAnsi="华文楷体" w:eastAsia="华文楷体" w:cs="华文楷体"/>
                <w:b/>
                <w:bCs/>
                <w:sz w:val="21"/>
                <w:szCs w:val="21"/>
              </w:rPr>
            </w:pPr>
            <w:r>
              <w:rPr>
                <w:rFonts w:hint="eastAsia" w:ascii="华文楷体" w:hAnsi="华文楷体" w:eastAsia="华文楷体" w:cs="华文楷体"/>
                <w:b/>
                <w:bCs/>
                <w:sz w:val="21"/>
                <w:szCs w:val="21"/>
              </w:rPr>
              <w:t>E</w:t>
            </w:r>
            <w:r>
              <w:rPr>
                <w:rFonts w:hint="eastAsia" w:ascii="华文楷体" w:hAnsi="华文楷体" w:eastAsia="华文楷体" w:cs="华文楷体"/>
                <w:b/>
                <w:bCs/>
                <w:sz w:val="21"/>
                <w:szCs w:val="21"/>
                <w:lang w:val="en-US" w:eastAsia="zh-CN"/>
              </w:rPr>
              <w:t>O</w:t>
            </w:r>
            <w:r>
              <w:rPr>
                <w:rFonts w:hint="eastAsia" w:ascii="华文楷体" w:hAnsi="华文楷体" w:eastAsia="华文楷体" w:cs="华文楷体"/>
                <w:b/>
                <w:bCs/>
                <w:sz w:val="21"/>
                <w:szCs w:val="21"/>
              </w:rPr>
              <w:t>:5.3/6.2/6.1.2/8.1/8.2</w:t>
            </w:r>
          </w:p>
        </w:tc>
        <w:tc>
          <w:tcPr>
            <w:tcW w:w="780" w:type="dxa"/>
            <w:vMerge w:val="continue"/>
          </w:tcPr>
          <w:p>
            <w:pPr>
              <w:rPr>
                <w:rFonts w:hint="eastAsia" w:ascii="华文楷体" w:hAnsi="华文楷体" w:eastAsia="华文楷体" w:cs="华文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tcPr>
          <w:p>
            <w:pPr>
              <w:spacing w:line="320" w:lineRule="exact"/>
              <w:rPr>
                <w:rFonts w:hint="eastAsia" w:ascii="华文楷体" w:hAnsi="华文楷体" w:eastAsia="华文楷体" w:cs="华文楷体"/>
                <w:color w:val="000000"/>
                <w:kern w:val="0"/>
                <w:sz w:val="21"/>
                <w:szCs w:val="21"/>
              </w:rPr>
            </w:pPr>
            <w:r>
              <w:rPr>
                <w:rFonts w:hint="eastAsia" w:ascii="华文楷体" w:hAnsi="华文楷体" w:eastAsia="华文楷体" w:cs="华文楷体"/>
                <w:color w:val="000000"/>
                <w:kern w:val="0"/>
                <w:sz w:val="21"/>
                <w:szCs w:val="21"/>
              </w:rPr>
              <w:t>组织的岗位职责和权限</w:t>
            </w:r>
          </w:p>
        </w:tc>
        <w:tc>
          <w:tcPr>
            <w:tcW w:w="992" w:type="dxa"/>
          </w:tcPr>
          <w:p>
            <w:pPr>
              <w:spacing w:line="320" w:lineRule="exact"/>
              <w:rPr>
                <w:rFonts w:hint="eastAsia" w:ascii="华文楷体" w:hAnsi="华文楷体" w:eastAsia="华文楷体" w:cs="华文楷体"/>
                <w:b/>
                <w:bCs/>
                <w:sz w:val="21"/>
                <w:szCs w:val="21"/>
              </w:rPr>
            </w:pPr>
            <w:r>
              <w:rPr>
                <w:rFonts w:hint="eastAsia" w:ascii="华文楷体" w:hAnsi="华文楷体" w:eastAsia="华文楷体" w:cs="华文楷体"/>
                <w:b/>
                <w:bCs/>
                <w:sz w:val="21"/>
                <w:szCs w:val="21"/>
                <w:lang w:eastAsia="zh-CN"/>
              </w:rPr>
              <w:t>QE</w:t>
            </w:r>
            <w:r>
              <w:rPr>
                <w:rFonts w:hint="eastAsia" w:ascii="华文楷体" w:hAnsi="华文楷体" w:eastAsia="华文楷体" w:cs="华文楷体"/>
                <w:b/>
                <w:bCs/>
                <w:sz w:val="21"/>
                <w:szCs w:val="21"/>
              </w:rPr>
              <w:t>O:5.3</w:t>
            </w:r>
          </w:p>
          <w:p>
            <w:pPr>
              <w:spacing w:line="320" w:lineRule="exact"/>
              <w:rPr>
                <w:rFonts w:hint="eastAsia" w:ascii="华文楷体" w:hAnsi="华文楷体" w:eastAsia="华文楷体" w:cs="华文楷体"/>
                <w:b/>
                <w:bCs/>
                <w:sz w:val="21"/>
                <w:szCs w:val="21"/>
              </w:rPr>
            </w:pPr>
            <w:r>
              <w:rPr>
                <w:rFonts w:hint="eastAsia" w:ascii="华文楷体" w:hAnsi="华文楷体" w:eastAsia="华文楷体" w:cs="华文楷体"/>
                <w:b/>
                <w:bCs/>
                <w:sz w:val="21"/>
                <w:szCs w:val="21"/>
              </w:rPr>
              <w:t>(4.3)</w:t>
            </w:r>
          </w:p>
        </w:tc>
        <w:tc>
          <w:tcPr>
            <w:tcW w:w="11836" w:type="dxa"/>
          </w:tcPr>
          <w:p>
            <w:pPr>
              <w:spacing w:line="320" w:lineRule="exact"/>
              <w:ind w:firstLine="420"/>
              <w:rPr>
                <w:rFonts w:hint="eastAsia" w:ascii="华文楷体" w:hAnsi="华文楷体" w:eastAsia="华文楷体" w:cs="华文楷体"/>
                <w:color w:val="000000"/>
                <w:sz w:val="21"/>
                <w:szCs w:val="21"/>
              </w:rPr>
            </w:pPr>
            <w:r>
              <w:rPr>
                <w:rFonts w:hint="eastAsia" w:ascii="华文楷体" w:hAnsi="华文楷体" w:eastAsia="华文楷体" w:cs="华文楷体"/>
                <w:b w:val="0"/>
                <w:bCs/>
                <w:sz w:val="21"/>
                <w:szCs w:val="21"/>
                <w:lang w:val="en-US" w:eastAsia="zh-CN"/>
              </w:rPr>
              <w:t>戴梓芽经理</w:t>
            </w:r>
            <w:r>
              <w:rPr>
                <w:rFonts w:hint="eastAsia" w:ascii="华文楷体" w:hAnsi="华文楷体" w:eastAsia="华文楷体" w:cs="华文楷体"/>
                <w:color w:val="000000"/>
                <w:sz w:val="21"/>
                <w:szCs w:val="21"/>
              </w:rPr>
              <w:t>介绍本部门主要负责</w:t>
            </w:r>
            <w:r>
              <w:rPr>
                <w:rFonts w:hint="eastAsia" w:ascii="华文楷体" w:hAnsi="华文楷体" w:eastAsia="华文楷体" w:cs="华文楷体"/>
                <w:color w:val="000000"/>
                <w:sz w:val="21"/>
                <w:szCs w:val="21"/>
                <w:lang w:val="en-US" w:eastAsia="zh-CN"/>
              </w:rPr>
              <w:t>物资</w:t>
            </w:r>
            <w:r>
              <w:rPr>
                <w:rFonts w:hint="eastAsia" w:ascii="华文楷体" w:hAnsi="华文楷体" w:eastAsia="华文楷体" w:cs="华文楷体"/>
                <w:color w:val="000000"/>
                <w:sz w:val="21"/>
                <w:szCs w:val="21"/>
              </w:rPr>
              <w:t>采购</w:t>
            </w:r>
            <w:r>
              <w:rPr>
                <w:rFonts w:hint="eastAsia" w:ascii="华文楷体" w:hAnsi="华文楷体" w:eastAsia="华文楷体" w:cs="华文楷体"/>
                <w:color w:val="000000"/>
                <w:sz w:val="21"/>
                <w:szCs w:val="21"/>
                <w:lang w:eastAsia="zh-CN"/>
              </w:rPr>
              <w:t>、</w:t>
            </w:r>
            <w:r>
              <w:rPr>
                <w:rFonts w:hint="eastAsia" w:ascii="华文楷体" w:hAnsi="华文楷体" w:eastAsia="华文楷体" w:cs="华文楷体"/>
                <w:color w:val="000000"/>
                <w:sz w:val="21"/>
                <w:szCs w:val="21"/>
              </w:rPr>
              <w:t>招投标及合同管理及顾客满意度的管理活动的实施与执行</w:t>
            </w:r>
          </w:p>
          <w:p>
            <w:pPr>
              <w:spacing w:line="320" w:lineRule="exact"/>
              <w:ind w:firstLine="420"/>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与</w:t>
            </w:r>
            <w:r>
              <w:rPr>
                <w:rFonts w:hint="eastAsia" w:ascii="华文楷体" w:hAnsi="华文楷体" w:eastAsia="华文楷体" w:cs="华文楷体"/>
                <w:color w:val="000000"/>
                <w:sz w:val="21"/>
                <w:szCs w:val="21"/>
                <w:lang w:val="en-US" w:eastAsia="zh-CN"/>
              </w:rPr>
              <w:t>经营管理部</w:t>
            </w:r>
            <w:r>
              <w:rPr>
                <w:rFonts w:hint="eastAsia" w:ascii="华文楷体" w:hAnsi="华文楷体" w:eastAsia="华文楷体" w:cs="华文楷体"/>
                <w:color w:val="000000"/>
                <w:sz w:val="21"/>
                <w:szCs w:val="21"/>
              </w:rPr>
              <w:t>负责人</w:t>
            </w:r>
            <w:r>
              <w:rPr>
                <w:rFonts w:hint="eastAsia" w:ascii="华文楷体" w:hAnsi="华文楷体" w:eastAsia="华文楷体" w:cs="华文楷体"/>
                <w:b w:val="0"/>
                <w:bCs/>
                <w:sz w:val="21"/>
                <w:szCs w:val="21"/>
                <w:lang w:val="en-US" w:eastAsia="zh-CN"/>
              </w:rPr>
              <w:t>戴梓芽经理</w:t>
            </w:r>
            <w:r>
              <w:rPr>
                <w:rFonts w:hint="eastAsia" w:ascii="华文楷体" w:hAnsi="华文楷体" w:eastAsia="华文楷体" w:cs="华文楷体"/>
                <w:color w:val="000000"/>
                <w:sz w:val="21"/>
                <w:szCs w:val="21"/>
              </w:rPr>
              <w:t>沟通，描述的职责和权限与公司管理体系的文件规定及职能分配表基本一致。</w:t>
            </w:r>
          </w:p>
          <w:p>
            <w:pPr>
              <w:spacing w:line="320" w:lineRule="exact"/>
              <w:ind w:firstLine="420"/>
              <w:rPr>
                <w:rFonts w:hint="eastAsia" w:ascii="华文楷体" w:hAnsi="华文楷体" w:eastAsia="华文楷体" w:cs="华文楷体"/>
                <w:b/>
                <w:color w:val="000000"/>
                <w:sz w:val="21"/>
                <w:szCs w:val="21"/>
              </w:rPr>
            </w:pPr>
            <w:r>
              <w:rPr>
                <w:rFonts w:hint="eastAsia" w:ascii="华文楷体" w:hAnsi="华文楷体" w:eastAsia="华文楷体" w:cs="华文楷体"/>
                <w:color w:val="000000"/>
                <w:sz w:val="21"/>
                <w:szCs w:val="21"/>
                <w:lang w:val="en-US" w:eastAsia="zh-CN"/>
              </w:rPr>
              <w:t>经营管理部</w:t>
            </w:r>
            <w:r>
              <w:rPr>
                <w:rFonts w:hint="eastAsia" w:ascii="华文楷体" w:hAnsi="华文楷体" w:eastAsia="华文楷体" w:cs="华文楷体"/>
                <w:color w:val="000000"/>
                <w:sz w:val="21"/>
                <w:szCs w:val="21"/>
              </w:rPr>
              <w:t>人员与公司其他部门人员联合办公，有办公桌、电脑、空调、投影仪等能满足部门体系运行需求。</w:t>
            </w:r>
          </w:p>
        </w:tc>
        <w:tc>
          <w:tcPr>
            <w:tcW w:w="780" w:type="dxa"/>
          </w:tcPr>
          <w:p>
            <w:pP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101" w:type="dxa"/>
            <w:vAlign w:val="center"/>
          </w:tcPr>
          <w:p>
            <w:pPr>
              <w:rPr>
                <w:rFonts w:hint="eastAsia" w:ascii="华文楷体" w:hAnsi="华文楷体" w:eastAsia="华文楷体" w:cs="华文楷体"/>
                <w:sz w:val="21"/>
                <w:szCs w:val="21"/>
              </w:rPr>
            </w:pPr>
            <w:r>
              <w:rPr>
                <w:rFonts w:hint="eastAsia" w:ascii="华文楷体" w:hAnsi="华文楷体" w:eastAsia="华文楷体" w:cs="华文楷体"/>
                <w:sz w:val="21"/>
                <w:szCs w:val="21"/>
              </w:rPr>
              <w:t>环境因素和危险源评价</w:t>
            </w:r>
          </w:p>
        </w:tc>
        <w:tc>
          <w:tcPr>
            <w:tcW w:w="992" w:type="dxa"/>
            <w:vAlign w:val="center"/>
          </w:tcPr>
          <w:p>
            <w:pPr>
              <w:rPr>
                <w:rFonts w:hint="eastAsia" w:ascii="华文楷体" w:hAnsi="华文楷体" w:eastAsia="华文楷体" w:cs="华文楷体"/>
                <w:sz w:val="21"/>
                <w:szCs w:val="21"/>
              </w:rPr>
            </w:pPr>
            <w:r>
              <w:rPr>
                <w:rFonts w:hint="eastAsia" w:ascii="华文楷体" w:hAnsi="华文楷体" w:eastAsia="华文楷体" w:cs="华文楷体"/>
                <w:sz w:val="21"/>
                <w:szCs w:val="21"/>
              </w:rPr>
              <w:t>EO6.1.2</w:t>
            </w:r>
          </w:p>
        </w:tc>
        <w:tc>
          <w:tcPr>
            <w:tcW w:w="11836" w:type="dxa"/>
            <w:vAlign w:val="center"/>
          </w:tcPr>
          <w:p>
            <w:pPr>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策划、编制了《环境因素识别与评价控制程序》及《危险源辨识、风险评价控制程序》。</w:t>
            </w:r>
          </w:p>
          <w:p>
            <w:pPr>
              <w:rPr>
                <w:rFonts w:hint="eastAsia" w:ascii="华文楷体" w:hAnsi="华文楷体" w:eastAsia="华文楷体" w:cs="华文楷体"/>
                <w:sz w:val="21"/>
                <w:szCs w:val="21"/>
              </w:rPr>
            </w:pPr>
            <w:r>
              <w:rPr>
                <w:rFonts w:hint="eastAsia" w:ascii="华文楷体" w:hAnsi="华文楷体" w:eastAsia="华文楷体" w:cs="华文楷体"/>
                <w:sz w:val="21"/>
                <w:szCs w:val="21"/>
                <w:lang w:eastAsia="zh-CN"/>
              </w:rPr>
              <w:t>2022</w:t>
            </w:r>
            <w:r>
              <w:rPr>
                <w:rFonts w:hint="eastAsia" w:ascii="华文楷体" w:hAnsi="华文楷体" w:eastAsia="华文楷体" w:cs="华文楷体"/>
                <w:sz w:val="21"/>
                <w:szCs w:val="21"/>
              </w:rPr>
              <w:t>年</w:t>
            </w:r>
            <w:r>
              <w:rPr>
                <w:rFonts w:hint="eastAsia" w:ascii="华文楷体" w:hAnsi="华文楷体" w:eastAsia="华文楷体" w:cs="华文楷体"/>
                <w:sz w:val="21"/>
                <w:szCs w:val="21"/>
                <w:lang w:val="en-US" w:eastAsia="zh-CN"/>
              </w:rPr>
              <w:t>10</w:t>
            </w:r>
            <w:r>
              <w:rPr>
                <w:rFonts w:hint="eastAsia" w:ascii="华文楷体" w:hAnsi="华文楷体" w:eastAsia="华文楷体" w:cs="华文楷体"/>
                <w:sz w:val="21"/>
                <w:szCs w:val="21"/>
              </w:rPr>
              <w:t>月</w:t>
            </w:r>
            <w:r>
              <w:rPr>
                <w:rFonts w:hint="eastAsia" w:ascii="华文楷体" w:hAnsi="华文楷体" w:eastAsia="华文楷体" w:cs="华文楷体"/>
                <w:sz w:val="21"/>
                <w:szCs w:val="21"/>
                <w:lang w:val="en-US" w:eastAsia="zh-CN"/>
              </w:rPr>
              <w:t>10</w:t>
            </w:r>
            <w:r>
              <w:rPr>
                <w:rFonts w:hint="eastAsia" w:ascii="华文楷体" w:hAnsi="华文楷体" w:eastAsia="华文楷体" w:cs="华文楷体"/>
                <w:sz w:val="21"/>
                <w:szCs w:val="21"/>
              </w:rPr>
              <w:t>日由</w:t>
            </w:r>
            <w:r>
              <w:rPr>
                <w:rFonts w:hint="eastAsia" w:ascii="华文楷体" w:hAnsi="华文楷体" w:eastAsia="华文楷体" w:cs="华文楷体"/>
                <w:sz w:val="21"/>
                <w:szCs w:val="21"/>
                <w:lang w:eastAsia="zh-CN"/>
              </w:rPr>
              <w:t>办公室</w:t>
            </w:r>
            <w:r>
              <w:rPr>
                <w:rFonts w:hint="eastAsia" w:ascii="华文楷体" w:hAnsi="华文楷体" w:eastAsia="华文楷体" w:cs="华文楷体"/>
                <w:sz w:val="21"/>
                <w:szCs w:val="21"/>
              </w:rPr>
              <w:t>组织对环境因素、危险源进行了辨识、评价及控制措施的制定。</w:t>
            </w:r>
          </w:p>
          <w:p>
            <w:pPr>
              <w:spacing w:before="32"/>
              <w:ind w:left="478" w:right="0" w:firstLine="0"/>
              <w:jc w:val="left"/>
              <w:rPr>
                <w:rFonts w:hint="eastAsia" w:ascii="华文楷体" w:hAnsi="华文楷体" w:eastAsia="华文楷体" w:cs="华文楷体"/>
                <w:sz w:val="21"/>
                <w:szCs w:val="21"/>
              </w:rPr>
            </w:pPr>
            <w:r>
              <w:rPr>
                <w:rFonts w:hint="eastAsia" w:ascii="华文楷体" w:hAnsi="华文楷体" w:eastAsia="华文楷体" w:cs="华文楷体"/>
                <w:sz w:val="21"/>
                <w:szCs w:val="21"/>
              </w:rPr>
              <w:t>评价得出的重要环境因素为噪声的排放、固废/危废的排物、火灾的排放、能源/资源消耗的发生等。提供环境因素识别与评价清单、危险源辨识风险评价清单（汇总表）、重要环境因素清单）、查到不可接受风险为火灾、</w:t>
            </w:r>
            <w:r>
              <w:rPr>
                <w:rFonts w:hint="eastAsia" w:ascii="华文楷体" w:hAnsi="华文楷体" w:eastAsia="华文楷体" w:cs="华文楷体"/>
                <w:sz w:val="21"/>
                <w:szCs w:val="21"/>
                <w:lang w:val="en-US" w:eastAsia="zh-CN"/>
              </w:rPr>
              <w:t>起重</w:t>
            </w:r>
            <w:r>
              <w:rPr>
                <w:rFonts w:hint="eastAsia" w:ascii="华文楷体" w:hAnsi="华文楷体" w:eastAsia="华文楷体" w:cs="华文楷体"/>
                <w:sz w:val="21"/>
                <w:szCs w:val="21"/>
              </w:rPr>
              <w:t>伤害</w:t>
            </w:r>
            <w:r>
              <w:rPr>
                <w:rFonts w:hint="eastAsia" w:ascii="华文楷体" w:hAnsi="华文楷体" w:eastAsia="华文楷体" w:cs="华文楷体"/>
                <w:sz w:val="21"/>
                <w:szCs w:val="21"/>
                <w:lang w:eastAsia="zh-CN"/>
              </w:rPr>
              <w:t>、</w:t>
            </w:r>
            <w:r>
              <w:rPr>
                <w:rFonts w:hint="eastAsia" w:ascii="华文楷体" w:hAnsi="华文楷体" w:eastAsia="华文楷体" w:cs="华文楷体"/>
                <w:sz w:val="21"/>
                <w:szCs w:val="21"/>
                <w:lang w:val="en-US" w:eastAsia="zh-CN"/>
              </w:rPr>
              <w:t>高空坠落、机械伤害</w:t>
            </w:r>
            <w:r>
              <w:rPr>
                <w:rFonts w:hint="eastAsia" w:ascii="华文楷体" w:hAnsi="华文楷体" w:eastAsia="华文楷体" w:cs="华文楷体"/>
                <w:sz w:val="21"/>
                <w:szCs w:val="21"/>
              </w:rPr>
              <w:t>、触电、</w:t>
            </w:r>
            <w:r>
              <w:rPr>
                <w:rFonts w:hint="eastAsia" w:ascii="华文楷体" w:hAnsi="华文楷体" w:eastAsia="华文楷体" w:cs="华文楷体"/>
                <w:sz w:val="21"/>
                <w:szCs w:val="21"/>
                <w:lang w:val="en-US" w:eastAsia="zh-CN"/>
              </w:rPr>
              <w:t>职业伤害</w:t>
            </w:r>
            <w:r>
              <w:rPr>
                <w:rFonts w:hint="eastAsia" w:ascii="华文楷体" w:hAnsi="华文楷体" w:eastAsia="华文楷体" w:cs="华文楷体"/>
                <w:sz w:val="21"/>
                <w:szCs w:val="21"/>
              </w:rPr>
              <w:t>等。评价基本准确，</w:t>
            </w:r>
          </w:p>
        </w:tc>
        <w:tc>
          <w:tcPr>
            <w:tcW w:w="780" w:type="dxa"/>
          </w:tcPr>
          <w:p>
            <w:pPr>
              <w:rPr>
                <w:rFonts w:hint="eastAsia" w:ascii="华文楷体" w:hAnsi="华文楷体" w:eastAsia="华文楷体" w:cs="华文楷体"/>
                <w:sz w:val="21"/>
                <w:szCs w:val="21"/>
              </w:rPr>
            </w:pPr>
            <w:r>
              <w:rPr>
                <w:rFonts w:hint="eastAsia" w:ascii="华文楷体" w:hAnsi="华文楷体" w:eastAsia="华文楷体" w:cs="华文楷体"/>
                <w:b w:val="0"/>
                <w:bCs/>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1101" w:type="dxa"/>
          </w:tcPr>
          <w:p>
            <w:pPr>
              <w:spacing w:line="320" w:lineRule="exact"/>
              <w:rPr>
                <w:rFonts w:hint="eastAsia" w:ascii="华文楷体" w:hAnsi="华文楷体" w:eastAsia="华文楷体" w:cs="华文楷体"/>
                <w:b/>
                <w:color w:val="000000"/>
                <w:sz w:val="21"/>
                <w:szCs w:val="21"/>
              </w:rPr>
            </w:pPr>
            <w:r>
              <w:rPr>
                <w:rFonts w:hint="eastAsia" w:ascii="华文楷体" w:hAnsi="华文楷体" w:eastAsia="华文楷体" w:cs="华文楷体"/>
                <w:color w:val="000000"/>
                <w:kern w:val="0"/>
                <w:sz w:val="21"/>
                <w:szCs w:val="21"/>
              </w:rPr>
              <w:t>目标及其实现的策划总要求</w:t>
            </w:r>
          </w:p>
        </w:tc>
        <w:tc>
          <w:tcPr>
            <w:tcW w:w="992" w:type="dxa"/>
          </w:tcPr>
          <w:p>
            <w:pPr>
              <w:spacing w:line="320" w:lineRule="exact"/>
              <w:rPr>
                <w:rFonts w:hint="eastAsia" w:ascii="华文楷体" w:hAnsi="华文楷体" w:eastAsia="华文楷体" w:cs="华文楷体"/>
                <w:b/>
                <w:bCs/>
                <w:sz w:val="21"/>
                <w:szCs w:val="21"/>
              </w:rPr>
            </w:pPr>
            <w:r>
              <w:rPr>
                <w:rFonts w:hint="eastAsia" w:ascii="华文楷体" w:hAnsi="华文楷体" w:eastAsia="华文楷体" w:cs="华文楷体"/>
                <w:b/>
                <w:sz w:val="21"/>
                <w:szCs w:val="21"/>
                <w:lang w:eastAsia="zh-CN"/>
              </w:rPr>
              <w:t>QE</w:t>
            </w:r>
            <w:r>
              <w:rPr>
                <w:rFonts w:hint="eastAsia" w:ascii="华文楷体" w:hAnsi="华文楷体" w:eastAsia="华文楷体" w:cs="华文楷体"/>
                <w:b/>
                <w:sz w:val="21"/>
                <w:szCs w:val="21"/>
              </w:rPr>
              <w:t>O</w:t>
            </w:r>
            <w:r>
              <w:rPr>
                <w:rFonts w:hint="eastAsia" w:ascii="华文楷体" w:hAnsi="华文楷体" w:eastAsia="华文楷体" w:cs="华文楷体"/>
                <w:b/>
                <w:bCs/>
                <w:sz w:val="21"/>
                <w:szCs w:val="21"/>
              </w:rPr>
              <w:t>6.2</w:t>
            </w:r>
          </w:p>
          <w:p>
            <w:pPr>
              <w:spacing w:line="320" w:lineRule="exact"/>
              <w:rPr>
                <w:rFonts w:hint="eastAsia" w:ascii="华文楷体" w:hAnsi="华文楷体" w:eastAsia="华文楷体" w:cs="华文楷体"/>
                <w:b/>
                <w:bCs/>
                <w:sz w:val="21"/>
                <w:szCs w:val="21"/>
              </w:rPr>
            </w:pPr>
            <w:r>
              <w:rPr>
                <w:rFonts w:hint="eastAsia" w:ascii="华文楷体" w:hAnsi="华文楷体" w:eastAsia="华文楷体" w:cs="华文楷体"/>
                <w:b/>
                <w:bCs/>
                <w:sz w:val="21"/>
                <w:szCs w:val="21"/>
              </w:rPr>
              <w:t>(3.2)</w:t>
            </w:r>
          </w:p>
          <w:p>
            <w:pPr>
              <w:spacing w:line="320" w:lineRule="exact"/>
              <w:rPr>
                <w:rFonts w:hint="eastAsia" w:ascii="华文楷体" w:hAnsi="华文楷体" w:eastAsia="华文楷体" w:cs="华文楷体"/>
                <w:b/>
                <w:color w:val="000000"/>
                <w:sz w:val="21"/>
                <w:szCs w:val="21"/>
              </w:rPr>
            </w:pPr>
          </w:p>
        </w:tc>
        <w:tc>
          <w:tcPr>
            <w:tcW w:w="11836" w:type="dxa"/>
          </w:tcPr>
          <w:p>
            <w:pPr>
              <w:spacing w:line="320" w:lineRule="exact"/>
              <w:ind w:firstLine="420" w:firstLineChars="200"/>
              <w:rPr>
                <w:rFonts w:hint="eastAsia" w:ascii="华文楷体" w:hAnsi="华文楷体" w:eastAsia="华文楷体" w:cs="华文楷体"/>
                <w:color w:val="000000"/>
                <w:sz w:val="21"/>
                <w:szCs w:val="21"/>
                <w:lang w:val="en-US" w:eastAsia="zh-CN"/>
              </w:rPr>
            </w:pPr>
            <w:r>
              <w:rPr>
                <w:rFonts w:hint="eastAsia" w:ascii="华文楷体" w:hAnsi="华文楷体" w:eastAsia="华文楷体" w:cs="华文楷体"/>
                <w:color w:val="000000"/>
                <w:sz w:val="21"/>
                <w:szCs w:val="21"/>
                <w:lang w:val="en-US" w:eastAsia="zh-CN"/>
              </w:rPr>
              <w:t>经营管理部</w:t>
            </w:r>
            <w:r>
              <w:rPr>
                <w:rFonts w:hint="eastAsia" w:ascii="华文楷体" w:hAnsi="华文楷体" w:eastAsia="华文楷体" w:cs="华文楷体"/>
                <w:color w:val="000000"/>
                <w:sz w:val="21"/>
                <w:szCs w:val="21"/>
              </w:rPr>
              <w:t xml:space="preserve">管理目标有：            </w:t>
            </w:r>
            <w:r>
              <w:rPr>
                <w:rFonts w:hint="eastAsia" w:ascii="华文楷体" w:hAnsi="华文楷体" w:eastAsia="华文楷体" w:cs="华文楷体"/>
                <w:color w:val="000000"/>
                <w:sz w:val="21"/>
                <w:szCs w:val="21"/>
                <w:lang w:val="en-US" w:eastAsia="zh-CN"/>
              </w:rPr>
              <w:t xml:space="preserve">          </w:t>
            </w:r>
            <w:r>
              <w:rPr>
                <w:rFonts w:hint="eastAsia" w:ascii="华文楷体" w:hAnsi="华文楷体" w:eastAsia="华文楷体" w:cs="华文楷体"/>
                <w:color w:val="000000"/>
                <w:sz w:val="21"/>
                <w:szCs w:val="21"/>
              </w:rPr>
              <w:t xml:space="preserve">  </w:t>
            </w:r>
            <w:r>
              <w:rPr>
                <w:rFonts w:hint="eastAsia" w:ascii="华文楷体" w:hAnsi="华文楷体" w:eastAsia="华文楷体" w:cs="华文楷体"/>
                <w:color w:val="000000"/>
                <w:sz w:val="21"/>
                <w:szCs w:val="21"/>
                <w:lang w:val="en-US" w:eastAsia="zh-CN"/>
              </w:rPr>
              <w:t>考核情况（2022年12月）</w:t>
            </w:r>
          </w:p>
          <w:p>
            <w:pPr>
              <w:spacing w:line="240" w:lineRule="auto"/>
              <w:ind w:firstLine="315" w:firstLineChars="150"/>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drawing>
                <wp:inline distT="0" distB="0" distL="114300" distR="114300">
                  <wp:extent cx="7378065" cy="2441575"/>
                  <wp:effectExtent l="0" t="0" r="13335" b="12065"/>
                  <wp:docPr id="7" name="图片 7"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111"/>
                          <pic:cNvPicPr>
                            <a:picLocks noChangeAspect="1"/>
                          </pic:cNvPicPr>
                        </pic:nvPicPr>
                        <pic:blipFill>
                          <a:blip r:embed="rId6"/>
                          <a:srcRect t="2732"/>
                          <a:stretch>
                            <a:fillRect/>
                          </a:stretch>
                        </pic:blipFill>
                        <pic:spPr>
                          <a:xfrm>
                            <a:off x="0" y="0"/>
                            <a:ext cx="7378065" cy="2441575"/>
                          </a:xfrm>
                          <a:prstGeom prst="rect">
                            <a:avLst/>
                          </a:prstGeom>
                        </pic:spPr>
                      </pic:pic>
                    </a:graphicData>
                  </a:graphic>
                </wp:inline>
              </w:drawing>
            </w:r>
            <w:r>
              <w:rPr>
                <w:rFonts w:hint="eastAsia" w:ascii="华文楷体" w:hAnsi="华文楷体" w:eastAsia="华文楷体" w:cs="华文楷体"/>
                <w:color w:val="000000"/>
                <w:sz w:val="21"/>
                <w:szCs w:val="21"/>
              </w:rPr>
              <w:t xml:space="preserve">                         </w:t>
            </w:r>
          </w:p>
          <w:p>
            <w:pPr>
              <w:spacing w:line="320" w:lineRule="exact"/>
              <w:ind w:firstLine="420" w:firstLineChars="200"/>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目标可测量，与公司方针一致。</w:t>
            </w:r>
          </w:p>
          <w:p>
            <w:pPr>
              <w:spacing w:line="320" w:lineRule="exact"/>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质量目标完成情况：查到质量、环境、职业健康安全目标展开表，</w:t>
            </w:r>
            <w:r>
              <w:rPr>
                <w:rFonts w:hint="eastAsia" w:ascii="华文楷体" w:hAnsi="华文楷体" w:eastAsia="华文楷体" w:cs="华文楷体"/>
                <w:color w:val="000000"/>
                <w:sz w:val="21"/>
                <w:szCs w:val="21"/>
                <w:lang w:val="en-US" w:eastAsia="zh-CN"/>
              </w:rPr>
              <w:t>考核情况（2022年10~12月）</w:t>
            </w:r>
            <w:r>
              <w:rPr>
                <w:rFonts w:hint="eastAsia" w:ascii="华文楷体" w:hAnsi="华文楷体" w:eastAsia="华文楷体" w:cs="华文楷体"/>
                <w:color w:val="000000"/>
                <w:sz w:val="21"/>
                <w:szCs w:val="21"/>
              </w:rPr>
              <w:t>部门管理目标完成情况，以上质量目标已全部完成，考核</w:t>
            </w:r>
            <w:r>
              <w:rPr>
                <w:rFonts w:hint="eastAsia" w:ascii="华文楷体" w:hAnsi="华文楷体" w:eastAsia="华文楷体" w:cs="华文楷体"/>
                <w:color w:val="000000"/>
                <w:sz w:val="21"/>
                <w:szCs w:val="21"/>
                <w:lang w:val="en-US" w:eastAsia="zh-CN"/>
              </w:rPr>
              <w:t>人：华之争</w:t>
            </w:r>
            <w:r>
              <w:rPr>
                <w:rFonts w:hint="eastAsia" w:ascii="华文楷体" w:hAnsi="华文楷体" w:eastAsia="华文楷体" w:cs="华文楷体"/>
                <w:sz w:val="21"/>
                <w:szCs w:val="21"/>
              </w:rPr>
              <w:t xml:space="preserve"> </w:t>
            </w:r>
            <w:r>
              <w:rPr>
                <w:rFonts w:hint="eastAsia" w:ascii="华文楷体" w:hAnsi="华文楷体" w:eastAsia="华文楷体" w:cs="华文楷体"/>
                <w:sz w:val="21"/>
                <w:szCs w:val="21"/>
                <w:lang w:eastAsia="zh-CN"/>
              </w:rPr>
              <w:t>2022</w:t>
            </w:r>
            <w:r>
              <w:rPr>
                <w:rFonts w:hint="eastAsia" w:ascii="华文楷体" w:hAnsi="华文楷体" w:eastAsia="华文楷体" w:cs="华文楷体"/>
                <w:sz w:val="21"/>
                <w:szCs w:val="21"/>
              </w:rPr>
              <w:t>年</w:t>
            </w:r>
            <w:r>
              <w:rPr>
                <w:rFonts w:hint="eastAsia" w:ascii="华文楷体" w:hAnsi="华文楷体" w:eastAsia="华文楷体" w:cs="华文楷体"/>
                <w:sz w:val="21"/>
                <w:szCs w:val="21"/>
                <w:lang w:val="en-US" w:eastAsia="zh-CN"/>
              </w:rPr>
              <w:t>12</w:t>
            </w:r>
            <w:r>
              <w:rPr>
                <w:rFonts w:hint="eastAsia" w:ascii="华文楷体" w:hAnsi="华文楷体" w:eastAsia="华文楷体" w:cs="华文楷体"/>
                <w:sz w:val="21"/>
                <w:szCs w:val="21"/>
              </w:rPr>
              <w:t>月3</w:t>
            </w:r>
            <w:r>
              <w:rPr>
                <w:rFonts w:hint="eastAsia" w:ascii="华文楷体" w:hAnsi="华文楷体" w:eastAsia="华文楷体" w:cs="华文楷体"/>
                <w:sz w:val="21"/>
                <w:szCs w:val="21"/>
                <w:lang w:val="en-US" w:eastAsia="zh-CN"/>
              </w:rPr>
              <w:t>1</w:t>
            </w:r>
            <w:r>
              <w:rPr>
                <w:rFonts w:hint="eastAsia" w:ascii="华文楷体" w:hAnsi="华文楷体" w:eastAsia="华文楷体" w:cs="华文楷体"/>
                <w:sz w:val="21"/>
                <w:szCs w:val="21"/>
              </w:rPr>
              <w:t>日</w:t>
            </w:r>
            <w:r>
              <w:rPr>
                <w:rFonts w:hint="eastAsia" w:ascii="华文楷体" w:hAnsi="华文楷体" w:eastAsia="华文楷体" w:cs="华文楷体"/>
                <w:color w:val="000000"/>
                <w:sz w:val="21"/>
                <w:szCs w:val="21"/>
              </w:rPr>
              <w:t>。</w:t>
            </w:r>
          </w:p>
        </w:tc>
        <w:tc>
          <w:tcPr>
            <w:tcW w:w="780" w:type="dxa"/>
          </w:tcPr>
          <w:p>
            <w:pP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01" w:type="dxa"/>
          </w:tcPr>
          <w:p>
            <w:pPr>
              <w:spacing w:line="320" w:lineRule="exact"/>
              <w:rPr>
                <w:rFonts w:hint="eastAsia" w:ascii="华文楷体" w:hAnsi="华文楷体" w:eastAsia="华文楷体" w:cs="华文楷体"/>
                <w:b/>
                <w:color w:val="000000"/>
                <w:sz w:val="21"/>
                <w:szCs w:val="21"/>
              </w:rPr>
            </w:pPr>
            <w:r>
              <w:rPr>
                <w:rFonts w:hint="eastAsia" w:ascii="华文楷体" w:hAnsi="华文楷体" w:eastAsia="华文楷体" w:cs="华文楷体"/>
                <w:sz w:val="21"/>
                <w:szCs w:val="21"/>
              </w:rPr>
              <w:t>了解顾客沟通的实施。</w:t>
            </w:r>
          </w:p>
        </w:tc>
        <w:tc>
          <w:tcPr>
            <w:tcW w:w="992" w:type="dxa"/>
          </w:tcPr>
          <w:p>
            <w:pPr>
              <w:spacing w:line="320" w:lineRule="exact"/>
              <w:rPr>
                <w:rFonts w:hint="eastAsia" w:ascii="华文楷体" w:hAnsi="华文楷体" w:eastAsia="华文楷体" w:cs="华文楷体"/>
                <w:b/>
                <w:color w:val="000000"/>
                <w:sz w:val="21"/>
                <w:szCs w:val="21"/>
              </w:rPr>
            </w:pPr>
            <w:r>
              <w:rPr>
                <w:rFonts w:hint="eastAsia" w:ascii="华文楷体" w:hAnsi="华文楷体" w:eastAsia="华文楷体" w:cs="华文楷体"/>
                <w:b/>
                <w:sz w:val="21"/>
                <w:szCs w:val="21"/>
              </w:rPr>
              <w:t xml:space="preserve">Q </w:t>
            </w:r>
            <w:r>
              <w:rPr>
                <w:rFonts w:hint="eastAsia" w:ascii="华文楷体" w:hAnsi="华文楷体" w:eastAsia="华文楷体" w:cs="华文楷体"/>
                <w:b/>
                <w:bCs/>
                <w:sz w:val="21"/>
                <w:szCs w:val="21"/>
              </w:rPr>
              <w:t>8.2.1（6.2-6.3）</w:t>
            </w:r>
          </w:p>
        </w:tc>
        <w:tc>
          <w:tcPr>
            <w:tcW w:w="11836" w:type="dxa"/>
          </w:tcPr>
          <w:p>
            <w:pPr>
              <w:pStyle w:val="3"/>
              <w:tabs>
                <w:tab w:val="clear" w:pos="4153"/>
                <w:tab w:val="clear" w:pos="8306"/>
              </w:tabs>
              <w:snapToGrid/>
              <w:spacing w:line="320" w:lineRule="exact"/>
              <w:ind w:firstLine="420" w:firstLineChars="200"/>
              <w:rPr>
                <w:rFonts w:hint="eastAsia" w:ascii="华文楷体" w:hAnsi="华文楷体" w:eastAsia="华文楷体" w:cs="华文楷体"/>
                <w:sz w:val="21"/>
                <w:szCs w:val="21"/>
                <w:lang w:val="en-GB"/>
              </w:rPr>
            </w:pPr>
            <w:r>
              <w:rPr>
                <w:rFonts w:hint="eastAsia" w:ascii="华文楷体" w:hAnsi="华文楷体" w:eastAsia="华文楷体" w:cs="华文楷体"/>
                <w:sz w:val="21"/>
                <w:szCs w:val="21"/>
                <w:lang w:val="en-GB"/>
              </w:rPr>
              <w:t>公司编制了“顾客满意度调查控制程序”，</w:t>
            </w:r>
            <w:r>
              <w:rPr>
                <w:rFonts w:hint="eastAsia" w:ascii="华文楷体" w:hAnsi="华文楷体" w:eastAsia="华文楷体" w:cs="华文楷体"/>
                <w:sz w:val="21"/>
                <w:szCs w:val="21"/>
              </w:rPr>
              <w:t>工程项目投标及工程承包合同管理制度.</w:t>
            </w:r>
            <w:r>
              <w:rPr>
                <w:rFonts w:hint="eastAsia" w:ascii="华文楷体" w:hAnsi="华文楷体" w:eastAsia="华文楷体" w:cs="华文楷体"/>
                <w:sz w:val="21"/>
                <w:szCs w:val="21"/>
                <w:lang w:val="en-GB"/>
              </w:rPr>
              <w:t>识别顾客对服务的需求与期望，要根据顾客规定的要求以达到：</w:t>
            </w:r>
          </w:p>
          <w:p>
            <w:pPr>
              <w:pStyle w:val="3"/>
              <w:numPr>
                <w:ilvl w:val="0"/>
                <w:numId w:val="3"/>
              </w:numPr>
              <w:tabs>
                <w:tab w:val="clear" w:pos="4153"/>
                <w:tab w:val="clear" w:pos="8306"/>
              </w:tabs>
              <w:snapToGrid/>
              <w:spacing w:line="320" w:lineRule="exact"/>
              <w:ind w:firstLine="420" w:firstLineChars="200"/>
              <w:rPr>
                <w:rFonts w:hint="eastAsia" w:ascii="华文楷体" w:hAnsi="华文楷体" w:eastAsia="华文楷体" w:cs="华文楷体"/>
                <w:sz w:val="21"/>
                <w:szCs w:val="21"/>
                <w:lang w:val="en-GB"/>
              </w:rPr>
            </w:pPr>
            <w:r>
              <w:rPr>
                <w:rFonts w:hint="eastAsia" w:ascii="华文楷体" w:hAnsi="华文楷体" w:eastAsia="华文楷体" w:cs="华文楷体"/>
                <w:sz w:val="21"/>
                <w:szCs w:val="21"/>
                <w:lang w:val="en-GB"/>
              </w:rPr>
              <w:t>顾客明示的服务要求，包括服务质量要求及涉及的可用性、交付、支持服务，如：运输、保修、培训、价格等方面的要求。</w:t>
            </w:r>
          </w:p>
          <w:p>
            <w:pPr>
              <w:pStyle w:val="3"/>
              <w:numPr>
                <w:ilvl w:val="0"/>
                <w:numId w:val="3"/>
              </w:numPr>
              <w:tabs>
                <w:tab w:val="clear" w:pos="4153"/>
                <w:tab w:val="clear" w:pos="8306"/>
              </w:tabs>
              <w:snapToGrid/>
              <w:spacing w:line="32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lang w:val="en-GB"/>
              </w:rPr>
              <w:t xml:space="preserve"> 顾客没有明确要求，但预期或规定的用途所必要的服务要求，这是一类习惯上隐含的潜在要求，企业为满足顾客要求应做出承诺。</w:t>
            </w:r>
          </w:p>
          <w:p>
            <w:pPr>
              <w:spacing w:line="32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lang w:val="en-GB"/>
              </w:rPr>
              <w:t xml:space="preserve"> 顾客没有规定，但国家强制性标准及法律、法规规定的要求。</w:t>
            </w:r>
          </w:p>
          <w:p>
            <w:pPr>
              <w:numPr>
                <w:ilvl w:val="0"/>
                <w:numId w:val="3"/>
              </w:numPr>
              <w:spacing w:line="320" w:lineRule="exact"/>
              <w:ind w:firstLine="420" w:firstLineChars="200"/>
              <w:rPr>
                <w:rFonts w:hint="eastAsia" w:ascii="华文楷体" w:hAnsi="华文楷体" w:eastAsia="华文楷体" w:cs="华文楷体"/>
                <w:sz w:val="21"/>
                <w:szCs w:val="21"/>
                <w:lang w:val="en-GB"/>
              </w:rPr>
            </w:pPr>
            <w:r>
              <w:rPr>
                <w:rFonts w:hint="eastAsia" w:ascii="华文楷体" w:hAnsi="华文楷体" w:eastAsia="华文楷体" w:cs="华文楷体"/>
                <w:sz w:val="21"/>
                <w:szCs w:val="21"/>
                <w:lang w:val="en-GB"/>
              </w:rPr>
              <w:t>企业在实施过程中努力为顾客着想，通过签订合同、协议、洽谈等多种形式提出合理化建议，保证服务的顺利实施。</w:t>
            </w:r>
          </w:p>
          <w:p>
            <w:pPr>
              <w:spacing w:line="32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与顾客沟通主要采取以下方式：产品信息：主要是电话、传真、QQ、微信、互联网、公司宣传册及网站的方式；问询、合同或订单的处理：主要采取电话或面谈的方式；顾客反馈：主要为顾客建立档案，定期电话或登门进行回访。</w:t>
            </w:r>
          </w:p>
          <w:p>
            <w:pPr>
              <w:spacing w:line="32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查见《客户档案》，内容包括：客户名称、法人代表、通讯地址、联系人、电话、邮编、传真、E-mail等。并为客户建立了客户档案。档案内容包括：营业执照、体系认证证明、供方评定调查表资料、交付业绩等。</w:t>
            </w:r>
          </w:p>
        </w:tc>
        <w:tc>
          <w:tcPr>
            <w:tcW w:w="780" w:type="dxa"/>
          </w:tcPr>
          <w:p>
            <w:pP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01" w:type="dxa"/>
            <w:vAlign w:val="center"/>
          </w:tcPr>
          <w:p>
            <w:pPr>
              <w:spacing w:line="32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与产品和服务要求有关的要求确定</w:t>
            </w:r>
          </w:p>
        </w:tc>
        <w:tc>
          <w:tcPr>
            <w:tcW w:w="992" w:type="dxa"/>
            <w:vAlign w:val="center"/>
          </w:tcPr>
          <w:p>
            <w:pPr>
              <w:spacing w:line="320" w:lineRule="exact"/>
              <w:rPr>
                <w:rFonts w:hint="eastAsia" w:ascii="华文楷体" w:hAnsi="华文楷体" w:eastAsia="华文楷体" w:cs="华文楷体"/>
                <w:sz w:val="21"/>
                <w:szCs w:val="21"/>
              </w:rPr>
            </w:pPr>
            <w:r>
              <w:rPr>
                <w:rFonts w:hint="eastAsia" w:ascii="华文楷体" w:hAnsi="华文楷体" w:eastAsia="华文楷体" w:cs="华文楷体"/>
                <w:b/>
                <w:sz w:val="21"/>
                <w:szCs w:val="21"/>
              </w:rPr>
              <w:t xml:space="preserve">Q </w:t>
            </w:r>
            <w:r>
              <w:rPr>
                <w:rFonts w:hint="eastAsia" w:ascii="华文楷体" w:hAnsi="华文楷体" w:eastAsia="华文楷体" w:cs="华文楷体"/>
                <w:sz w:val="21"/>
                <w:szCs w:val="21"/>
              </w:rPr>
              <w:t xml:space="preserve"> 8.2.2</w:t>
            </w:r>
          </w:p>
          <w:p>
            <w:pPr>
              <w:spacing w:line="32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（6.3）</w:t>
            </w:r>
          </w:p>
        </w:tc>
        <w:tc>
          <w:tcPr>
            <w:tcW w:w="11836" w:type="dxa"/>
            <w:vAlign w:val="center"/>
          </w:tcPr>
          <w:p>
            <w:pP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rPr>
              <w:t>该公司主要服务为资质范围内的</w:t>
            </w:r>
            <w:r>
              <w:rPr>
                <w:rFonts w:hint="eastAsia" w:ascii="华文楷体" w:hAnsi="华文楷体" w:eastAsia="华文楷体" w:cs="华文楷体"/>
                <w:sz w:val="21"/>
                <w:szCs w:val="21"/>
                <w:lang w:val="en-US" w:eastAsia="zh-CN"/>
              </w:rPr>
              <w:t>建筑工程施工总承包贰级、水利水电工程总承包贰级、</w:t>
            </w:r>
            <w:r>
              <w:rPr>
                <w:rFonts w:hint="eastAsia" w:ascii="华文楷体" w:hAnsi="华文楷体" w:eastAsia="华文楷体" w:cs="华文楷体"/>
                <w:sz w:val="21"/>
                <w:szCs w:val="21"/>
              </w:rPr>
              <w:t>市政基础设施项目工程总承包</w:t>
            </w:r>
            <w:r>
              <w:rPr>
                <w:rFonts w:hint="eastAsia" w:ascii="华文楷体" w:hAnsi="华文楷体" w:eastAsia="华文楷体" w:cs="华文楷体"/>
                <w:sz w:val="21"/>
                <w:szCs w:val="21"/>
                <w:lang w:val="en-US" w:eastAsia="zh-CN"/>
              </w:rPr>
              <w:t>叁级等</w:t>
            </w:r>
            <w:r>
              <w:rPr>
                <w:rFonts w:hint="eastAsia" w:ascii="华文楷体" w:hAnsi="华文楷体" w:eastAsia="华文楷体" w:cs="华文楷体"/>
                <w:sz w:val="21"/>
                <w:szCs w:val="21"/>
                <w:lang w:eastAsia="zh-CN"/>
              </w:rPr>
              <w:t>。</w:t>
            </w:r>
            <w:r>
              <w:rPr>
                <w:rFonts w:hint="eastAsia" w:ascii="华文楷体" w:hAnsi="华文楷体" w:eastAsia="华文楷体" w:cs="华文楷体"/>
                <w:sz w:val="21"/>
                <w:szCs w:val="21"/>
              </w:rPr>
              <w:t xml:space="preserve"> 该公司主要依据合同法及顾客要求进行资质范围内的市政基础设施项目工程总承包</w:t>
            </w:r>
            <w:r>
              <w:rPr>
                <w:rFonts w:hint="eastAsia" w:ascii="华文楷体" w:hAnsi="华文楷体" w:eastAsia="华文楷体" w:cs="华文楷体"/>
                <w:sz w:val="21"/>
                <w:szCs w:val="21"/>
                <w:lang w:val="en-US" w:eastAsia="zh-CN"/>
              </w:rPr>
              <w:t>业务开展与实施</w:t>
            </w:r>
            <w:r>
              <w:rPr>
                <w:rFonts w:hint="eastAsia" w:ascii="华文楷体" w:hAnsi="华文楷体" w:eastAsia="华文楷体" w:cs="华文楷体"/>
                <w:sz w:val="21"/>
                <w:szCs w:val="21"/>
              </w:rPr>
              <w:t>，与产品和服务有关的要求主要体现在与顾客所签定的合同/协议中。</w:t>
            </w:r>
            <w:r>
              <w:rPr>
                <w:rFonts w:hint="eastAsia" w:ascii="华文楷体" w:hAnsi="华文楷体" w:eastAsia="华文楷体" w:cs="华文楷体"/>
                <w:sz w:val="21"/>
                <w:szCs w:val="21"/>
                <w:lang w:val="en-US" w:eastAsia="zh-CN"/>
              </w:rPr>
              <w:t>公司业务性质主要为招投标形式，确客户要求基本在招标书内，在提交投标书前根据自身的能力及工程计划安排，进行合同评审。</w:t>
            </w:r>
          </w:p>
          <w:p>
            <w:pPr>
              <w:rPr>
                <w:rFonts w:hint="eastAsia" w:ascii="华文楷体" w:hAnsi="华文楷体" w:eastAsia="华文楷体" w:cs="华文楷体"/>
                <w:sz w:val="21"/>
                <w:szCs w:val="21"/>
              </w:rPr>
            </w:pPr>
            <w:r>
              <w:rPr>
                <w:rFonts w:hint="eastAsia" w:ascii="华文楷体" w:hAnsi="华文楷体" w:eastAsia="华文楷体" w:cs="华文楷体"/>
                <w:sz w:val="21"/>
                <w:szCs w:val="21"/>
              </w:rPr>
              <w:t>另外，该公司确定并收集了产品质量法、合同法、建筑法、消费者权益保护法等相关法律法规，将其中的相关要求作为与产品有关要求的补充。</w:t>
            </w:r>
          </w:p>
        </w:tc>
        <w:tc>
          <w:tcPr>
            <w:tcW w:w="780" w:type="dxa"/>
          </w:tcPr>
          <w:p>
            <w:pP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Align w:val="center"/>
          </w:tcPr>
          <w:p>
            <w:pPr>
              <w:rPr>
                <w:rFonts w:hint="eastAsia" w:ascii="华文楷体" w:hAnsi="华文楷体" w:eastAsia="华文楷体" w:cs="华文楷体"/>
                <w:sz w:val="21"/>
                <w:szCs w:val="21"/>
              </w:rPr>
            </w:pPr>
            <w:r>
              <w:rPr>
                <w:rFonts w:hint="eastAsia" w:ascii="华文楷体" w:hAnsi="华文楷体" w:eastAsia="华文楷体" w:cs="华文楷体"/>
                <w:sz w:val="21"/>
                <w:szCs w:val="21"/>
              </w:rPr>
              <w:t>与产品和服务要求有关的要求评审</w:t>
            </w:r>
          </w:p>
        </w:tc>
        <w:tc>
          <w:tcPr>
            <w:tcW w:w="992" w:type="dxa"/>
            <w:vAlign w:val="center"/>
          </w:tcPr>
          <w:p>
            <w:pPr>
              <w:rPr>
                <w:rFonts w:hint="eastAsia" w:ascii="华文楷体" w:hAnsi="华文楷体" w:eastAsia="华文楷体" w:cs="华文楷体"/>
                <w:sz w:val="21"/>
                <w:szCs w:val="21"/>
              </w:rPr>
            </w:pPr>
            <w:r>
              <w:rPr>
                <w:rFonts w:hint="eastAsia" w:ascii="华文楷体" w:hAnsi="华文楷体" w:eastAsia="华文楷体" w:cs="华文楷体"/>
                <w:b/>
                <w:sz w:val="21"/>
                <w:szCs w:val="21"/>
              </w:rPr>
              <w:t xml:space="preserve">Q </w:t>
            </w:r>
            <w:r>
              <w:rPr>
                <w:rFonts w:hint="eastAsia" w:ascii="华文楷体" w:hAnsi="华文楷体" w:eastAsia="华文楷体" w:cs="华文楷体"/>
                <w:sz w:val="21"/>
                <w:szCs w:val="21"/>
              </w:rPr>
              <w:t xml:space="preserve"> 8.2.3</w:t>
            </w:r>
          </w:p>
          <w:p>
            <w:pPr>
              <w:rPr>
                <w:rFonts w:hint="eastAsia" w:ascii="华文楷体" w:hAnsi="华文楷体" w:eastAsia="华文楷体" w:cs="华文楷体"/>
                <w:sz w:val="21"/>
                <w:szCs w:val="21"/>
              </w:rPr>
            </w:pPr>
            <w:r>
              <w:rPr>
                <w:rFonts w:hint="eastAsia" w:ascii="华文楷体" w:hAnsi="华文楷体" w:eastAsia="华文楷体" w:cs="华文楷体"/>
                <w:sz w:val="21"/>
                <w:szCs w:val="21"/>
              </w:rPr>
              <w:t>（6.3）</w:t>
            </w:r>
          </w:p>
        </w:tc>
        <w:tc>
          <w:tcPr>
            <w:tcW w:w="11836" w:type="dxa"/>
            <w:vAlign w:val="center"/>
          </w:tcPr>
          <w:p>
            <w:pPr>
              <w:ind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rPr>
              <w:t>该公司与产品有关要求主要在</w:t>
            </w:r>
            <w:r>
              <w:rPr>
                <w:rFonts w:hint="eastAsia" w:ascii="华文楷体" w:hAnsi="华文楷体" w:eastAsia="华文楷体" w:cs="华文楷体"/>
                <w:sz w:val="21"/>
                <w:szCs w:val="21"/>
                <w:lang w:val="en-US" w:eastAsia="zh-CN"/>
              </w:rPr>
              <w:t>投标书</w:t>
            </w:r>
            <w:r>
              <w:rPr>
                <w:rFonts w:hint="eastAsia" w:ascii="华文楷体" w:hAnsi="华文楷体" w:eastAsia="华文楷体" w:cs="华文楷体"/>
                <w:sz w:val="21"/>
                <w:szCs w:val="21"/>
              </w:rPr>
              <w:t>中体现，在</w:t>
            </w:r>
            <w:r>
              <w:rPr>
                <w:rFonts w:hint="eastAsia" w:ascii="华文楷体" w:hAnsi="华文楷体" w:eastAsia="华文楷体" w:cs="华文楷体"/>
                <w:sz w:val="21"/>
                <w:szCs w:val="21"/>
                <w:lang w:val="en-US" w:eastAsia="zh-CN"/>
              </w:rPr>
              <w:t>提交投标书</w:t>
            </w:r>
            <w:r>
              <w:rPr>
                <w:rFonts w:hint="eastAsia" w:ascii="华文楷体" w:hAnsi="华文楷体" w:eastAsia="华文楷体" w:cs="华文楷体"/>
                <w:sz w:val="21"/>
                <w:szCs w:val="21"/>
              </w:rPr>
              <w:t>之前，由总经理组织各相关部门以会议或会签的方式进行评审。</w:t>
            </w:r>
            <w:r>
              <w:rPr>
                <w:rFonts w:hint="eastAsia" w:ascii="华文楷体" w:hAnsi="华文楷体" w:eastAsia="华文楷体" w:cs="华文楷体"/>
                <w:sz w:val="21"/>
                <w:szCs w:val="21"/>
                <w:lang w:val="en-US" w:eastAsia="zh-CN"/>
              </w:rPr>
              <w:t>中标后，按中标通知书与业主单位签订合同。</w:t>
            </w:r>
          </w:p>
          <w:p>
            <w:pPr>
              <w:ind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rPr>
              <w:t>查见《合同台帐》，内容包括：序号、顾客名称、合同编号、项目名称、规 格型号、评审日期、评审结论、参加人员、签定日期、履行情况。</w:t>
            </w:r>
            <w:r>
              <w:rPr>
                <w:rFonts w:hint="eastAsia" w:ascii="华文楷体" w:hAnsi="华文楷体" w:eastAsia="华文楷体" w:cs="华文楷体"/>
                <w:sz w:val="21"/>
                <w:szCs w:val="21"/>
                <w:lang w:val="en-US" w:eastAsia="zh-CN"/>
              </w:rPr>
              <w:t>抽查2022年10月以下的项目合同：</w:t>
            </w:r>
          </w:p>
          <w:p>
            <w:pPr>
              <w:ind w:firstLine="1260" w:firstLineChars="600"/>
              <w:rPr>
                <w:rFonts w:hint="eastAsia" w:ascii="华文楷体" w:hAnsi="华文楷体" w:eastAsia="华文楷体" w:cs="华文楷体"/>
                <w:sz w:val="21"/>
                <w:szCs w:val="21"/>
              </w:rPr>
            </w:pPr>
            <w:r>
              <w:rPr>
                <w:rFonts w:hint="eastAsia" w:ascii="华文楷体" w:hAnsi="华文楷体" w:eastAsia="华文楷体" w:cs="华文楷体"/>
                <w:sz w:val="21"/>
                <w:szCs w:val="21"/>
              </w:rPr>
              <w:t>顾客名称                                   项目名称</w:t>
            </w:r>
          </w:p>
          <w:p>
            <w:pPr>
              <w:pStyle w:val="17"/>
              <w:rPr>
                <w:rFonts w:hint="eastAsia" w:ascii="华文楷体" w:hAnsi="华文楷体" w:eastAsia="华文楷体" w:cs="华文楷体"/>
                <w:color w:val="auto"/>
                <w:sz w:val="21"/>
                <w:szCs w:val="21"/>
              </w:rPr>
            </w:pPr>
            <w:r>
              <w:rPr>
                <w:rFonts w:hint="eastAsia" w:ascii="华文楷体" w:hAnsi="华文楷体" w:eastAsia="华文楷体" w:cs="华文楷体"/>
                <w:sz w:val="21"/>
                <w:szCs w:val="21"/>
              </w:rPr>
              <w:t>抽查1、</w:t>
            </w:r>
            <w:r>
              <w:rPr>
                <w:rFonts w:hint="eastAsia" w:ascii="华文楷体" w:hAnsi="华文楷体" w:eastAsia="华文楷体" w:cs="华文楷体"/>
                <w:b w:val="0"/>
                <w:bCs/>
                <w:color w:val="auto"/>
                <w:sz w:val="21"/>
                <w:szCs w:val="21"/>
                <w:lang w:eastAsia="zh-CN"/>
              </w:rPr>
              <w:t>遂昌县</w:t>
            </w:r>
            <w:r>
              <w:rPr>
                <w:rFonts w:hint="eastAsia" w:ascii="华文楷体" w:hAnsi="华文楷体" w:eastAsia="华文楷体" w:cs="华文楷体"/>
                <w:b w:val="0"/>
                <w:bCs/>
                <w:color w:val="auto"/>
                <w:sz w:val="21"/>
                <w:szCs w:val="21"/>
                <w:lang w:val="en-US" w:eastAsia="zh-CN"/>
              </w:rPr>
              <w:t>水利水电实业有限公司</w:t>
            </w:r>
            <w:r>
              <w:rPr>
                <w:rFonts w:hint="eastAsia" w:ascii="华文楷体" w:hAnsi="华文楷体" w:eastAsia="华文楷体" w:cs="华文楷体"/>
                <w:b w:val="0"/>
                <w:bCs w:val="0"/>
                <w:color w:val="auto"/>
                <w:sz w:val="21"/>
                <w:szCs w:val="21"/>
                <w:u w:val="none"/>
              </w:rPr>
              <w:t xml:space="preserve"> </w:t>
            </w:r>
            <w:r>
              <w:rPr>
                <w:rFonts w:hint="eastAsia" w:ascii="华文楷体" w:hAnsi="华文楷体" w:eastAsia="华文楷体" w:cs="华文楷体"/>
                <w:color w:val="auto"/>
                <w:sz w:val="21"/>
                <w:szCs w:val="21"/>
              </w:rPr>
              <w:t xml:space="preserve">      遂昌县麻洋口水库系统治理工程</w:t>
            </w:r>
          </w:p>
          <w:p>
            <w:pPr>
              <w:pStyle w:val="17"/>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 xml:space="preserve">签字盖章合同签订日期： </w:t>
            </w:r>
            <w:r>
              <w:rPr>
                <w:rFonts w:hint="eastAsia" w:ascii="华文楷体" w:hAnsi="华文楷体" w:eastAsia="华文楷体" w:cs="华文楷体"/>
                <w:color w:val="auto"/>
                <w:sz w:val="21"/>
                <w:szCs w:val="21"/>
                <w:lang w:eastAsia="zh-CN"/>
              </w:rPr>
              <w:t>2022</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1日</w:t>
            </w:r>
          </w:p>
          <w:p>
            <w:pPr>
              <w:pStyle w:val="17"/>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抽查</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w:t>
            </w:r>
            <w:r>
              <w:rPr>
                <w:rFonts w:hint="eastAsia" w:ascii="华文楷体" w:hAnsi="华文楷体" w:eastAsia="华文楷体" w:cs="华文楷体"/>
                <w:bCs/>
                <w:color w:val="auto"/>
                <w:sz w:val="21"/>
                <w:szCs w:val="21"/>
                <w:lang w:val="en-US" w:eastAsia="zh-CN"/>
              </w:rPr>
              <w:t>遂昌凯顺置业有限公司</w:t>
            </w: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color w:val="auto"/>
                <w:sz w:val="21"/>
                <w:szCs w:val="21"/>
                <w:lang w:val="en-US" w:eastAsia="zh-CN"/>
              </w:rPr>
              <w:t xml:space="preserve">   </w:t>
            </w:r>
            <w:r>
              <w:rPr>
                <w:rFonts w:hint="eastAsia" w:ascii="华文楷体" w:hAnsi="华文楷体" w:eastAsia="华文楷体" w:cs="华文楷体"/>
                <w:color w:val="auto"/>
                <w:sz w:val="21"/>
                <w:szCs w:val="21"/>
                <w:lang w:eastAsia="zh-CN"/>
              </w:rPr>
              <w:t>遂昌P（2021）10号地块（君瑞府）项目</w:t>
            </w:r>
          </w:p>
          <w:p>
            <w:pPr>
              <w:pStyle w:val="17"/>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 xml:space="preserve">签字盖章合同签订日期： </w:t>
            </w:r>
            <w:r>
              <w:rPr>
                <w:rFonts w:hint="eastAsia" w:ascii="华文楷体" w:hAnsi="华文楷体" w:eastAsia="华文楷体" w:cs="华文楷体"/>
                <w:color w:val="auto"/>
                <w:sz w:val="21"/>
                <w:szCs w:val="21"/>
                <w:lang w:eastAsia="zh-CN"/>
              </w:rPr>
              <w:t>202</w:t>
            </w: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 xml:space="preserve"> 28日</w:t>
            </w:r>
          </w:p>
          <w:p>
            <w:pPr>
              <w:pStyle w:val="17"/>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抽查</w:t>
            </w:r>
            <w:r>
              <w:rPr>
                <w:rFonts w:hint="eastAsia" w:ascii="华文楷体" w:hAnsi="华文楷体" w:eastAsia="华文楷体" w:cs="华文楷体"/>
                <w:color w:val="auto"/>
                <w:sz w:val="21"/>
                <w:szCs w:val="21"/>
                <w:lang w:val="en-US" w:eastAsia="zh-CN"/>
              </w:rPr>
              <w:t>3</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遂昌县金岸中心幼儿园</w:t>
            </w:r>
            <w:r>
              <w:rPr>
                <w:rFonts w:hint="eastAsia" w:ascii="华文楷体" w:hAnsi="华文楷体" w:eastAsia="华文楷体" w:cs="华文楷体"/>
                <w:b w:val="0"/>
                <w:bCs w:val="0"/>
                <w:color w:val="auto"/>
                <w:sz w:val="21"/>
                <w:szCs w:val="21"/>
                <w:u w:val="none"/>
                <w:lang w:val="en-US" w:eastAsia="zh-CN"/>
              </w:rPr>
              <w:t xml:space="preserve">          </w:t>
            </w:r>
            <w:r>
              <w:rPr>
                <w:rFonts w:hint="eastAsia" w:ascii="华文楷体" w:hAnsi="华文楷体" w:eastAsia="华文楷体" w:cs="华文楷体"/>
                <w:color w:val="auto"/>
                <w:sz w:val="21"/>
                <w:szCs w:val="21"/>
                <w:lang w:val="en-US" w:eastAsia="zh-CN"/>
              </w:rPr>
              <w:t>遂昌县金岸中心幼儿园改扩建工程</w:t>
            </w:r>
          </w:p>
          <w:p>
            <w:pPr>
              <w:pStyle w:val="17"/>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签字盖章合同签订日期</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color w:val="auto"/>
                <w:sz w:val="21"/>
                <w:szCs w:val="21"/>
                <w:lang w:val="en-US" w:eastAsia="zh-CN"/>
              </w:rPr>
              <w:t>2021年3月</w:t>
            </w:r>
            <w:r>
              <w:rPr>
                <w:rFonts w:hint="eastAsia" w:ascii="华文楷体" w:hAnsi="华文楷体" w:eastAsia="华文楷体" w:cs="华文楷体"/>
                <w:color w:val="auto"/>
                <w:sz w:val="21"/>
                <w:szCs w:val="21"/>
              </w:rPr>
              <w:t xml:space="preserve"> </w:t>
            </w:r>
          </w:p>
          <w:p>
            <w:pPr>
              <w:pStyle w:val="17"/>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抽查4、浙江水上特材有限公司      浙江水上特材有限公司建设项目</w:t>
            </w:r>
          </w:p>
          <w:p>
            <w:pPr>
              <w:pStyle w:val="17"/>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签字盖章合同签订日期</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color w:val="auto"/>
                <w:sz w:val="21"/>
                <w:szCs w:val="21"/>
                <w:lang w:val="en-US" w:eastAsia="zh-CN"/>
              </w:rPr>
              <w:t>2020年8月18日</w:t>
            </w:r>
            <w:r>
              <w:rPr>
                <w:rFonts w:hint="eastAsia" w:ascii="华文楷体" w:hAnsi="华文楷体" w:eastAsia="华文楷体" w:cs="华文楷体"/>
                <w:color w:val="auto"/>
                <w:sz w:val="21"/>
                <w:szCs w:val="21"/>
              </w:rPr>
              <w:t xml:space="preserve"> </w:t>
            </w:r>
          </w:p>
          <w:p>
            <w:pPr>
              <w:pStyle w:val="17"/>
              <w:rPr>
                <w:rFonts w:hint="eastAsia" w:ascii="华文楷体" w:hAnsi="华文楷体" w:eastAsia="华文楷体" w:cs="华文楷体"/>
                <w:color w:val="auto"/>
                <w:sz w:val="21"/>
                <w:szCs w:val="21"/>
                <w:lang w:val="en-US" w:eastAsia="zh-CN"/>
              </w:rPr>
            </w:pPr>
          </w:p>
          <w:p>
            <w:pPr>
              <w:pStyle w:val="17"/>
              <w:rPr>
                <w:rFonts w:hint="eastAsia" w:ascii="华文楷体" w:hAnsi="华文楷体" w:eastAsia="华文楷体" w:cs="华文楷体"/>
                <w:sz w:val="21"/>
                <w:szCs w:val="21"/>
              </w:rPr>
            </w:pPr>
            <w:r>
              <w:rPr>
                <w:rFonts w:hint="eastAsia" w:ascii="华文楷体" w:hAnsi="华文楷体" w:eastAsia="华文楷体" w:cs="华文楷体"/>
                <w:sz w:val="21"/>
                <w:szCs w:val="21"/>
              </w:rPr>
              <w:t>。。。。。。。。</w:t>
            </w:r>
          </w:p>
          <w:p>
            <w:pPr>
              <w:rPr>
                <w:rFonts w:hint="eastAsia" w:ascii="华文楷体" w:hAnsi="华文楷体" w:eastAsia="华文楷体" w:cs="华文楷体"/>
                <w:color w:val="FF0000"/>
                <w:sz w:val="21"/>
                <w:szCs w:val="21"/>
                <w:u w:val="single"/>
              </w:rPr>
            </w:pPr>
            <w:r>
              <w:rPr>
                <w:rFonts w:hint="eastAsia" w:ascii="华文楷体" w:hAnsi="华文楷体" w:eastAsia="华文楷体" w:cs="华文楷体"/>
                <w:sz w:val="21"/>
                <w:szCs w:val="21"/>
                <w:lang w:val="en-US" w:eastAsia="zh-CN"/>
              </w:rPr>
              <w:t>查</w:t>
            </w:r>
            <w:r>
              <w:rPr>
                <w:rFonts w:hint="eastAsia" w:ascii="华文楷体" w:hAnsi="华文楷体" w:eastAsia="华文楷体" w:cs="华文楷体"/>
                <w:sz w:val="21"/>
                <w:szCs w:val="21"/>
              </w:rPr>
              <w:t>阅</w:t>
            </w:r>
            <w:r>
              <w:rPr>
                <w:rFonts w:hint="eastAsia" w:ascii="华文楷体" w:hAnsi="华文楷体" w:eastAsia="华文楷体" w:cs="华文楷体"/>
                <w:sz w:val="21"/>
                <w:szCs w:val="21"/>
                <w:lang w:val="en-US" w:eastAsia="zh-CN"/>
              </w:rPr>
              <w:t>以上</w:t>
            </w:r>
            <w:r>
              <w:rPr>
                <w:rFonts w:hint="eastAsia" w:ascii="华文楷体" w:hAnsi="华文楷体" w:eastAsia="华文楷体" w:cs="华文楷体"/>
                <w:sz w:val="21"/>
                <w:szCs w:val="21"/>
              </w:rPr>
              <w:t>合同评审的相关信息，</w:t>
            </w:r>
            <w:r>
              <w:rPr>
                <w:rFonts w:hint="eastAsia" w:ascii="华文楷体" w:hAnsi="华文楷体" w:eastAsia="华文楷体" w:cs="华文楷体"/>
                <w:sz w:val="21"/>
                <w:szCs w:val="21"/>
                <w:lang w:val="en-US" w:eastAsia="zh-CN"/>
              </w:rPr>
              <w:t>经营管理部经理</w:t>
            </w:r>
            <w:r>
              <w:rPr>
                <w:rFonts w:hint="eastAsia" w:ascii="华文楷体" w:hAnsi="华文楷体" w:eastAsia="华文楷体" w:cs="华文楷体"/>
                <w:sz w:val="21"/>
                <w:szCs w:val="21"/>
              </w:rPr>
              <w:t>介绍：在投标阶段进行了评审我们按顾客的质量、进度要求进行顾客要求的评审工作，合同评审在签订合同签订前进行，参加评审的有：</w:t>
            </w:r>
            <w:r>
              <w:rPr>
                <w:rFonts w:hint="eastAsia" w:ascii="华文楷体" w:hAnsi="华文楷体" w:eastAsia="华文楷体" w:cs="华文楷体"/>
                <w:sz w:val="21"/>
                <w:szCs w:val="21"/>
                <w:lang w:val="en-US" w:eastAsia="zh-CN"/>
              </w:rPr>
              <w:t>经营管理部</w:t>
            </w:r>
            <w:r>
              <w:rPr>
                <w:rFonts w:hint="eastAsia" w:ascii="华文楷体" w:hAnsi="华文楷体" w:eastAsia="华文楷体" w:cs="华文楷体"/>
                <w:sz w:val="21"/>
                <w:szCs w:val="21"/>
              </w:rPr>
              <w:t>、财务部</w:t>
            </w:r>
            <w:r>
              <w:rPr>
                <w:rFonts w:hint="eastAsia" w:ascii="华文楷体" w:hAnsi="华文楷体" w:eastAsia="华文楷体" w:cs="华文楷体"/>
                <w:sz w:val="21"/>
                <w:szCs w:val="21"/>
                <w:lang w:val="en-US" w:eastAsia="zh-CN"/>
              </w:rPr>
              <w:t>、工程</w:t>
            </w:r>
            <w:r>
              <w:rPr>
                <w:rFonts w:hint="eastAsia" w:ascii="华文楷体" w:hAnsi="华文楷体" w:eastAsia="华文楷体" w:cs="华文楷体"/>
                <w:sz w:val="21"/>
                <w:szCs w:val="21"/>
              </w:rPr>
              <w:t>部等部门负责人，最后由总经理或授权人审批，同意签订此合同。双方授权人签字盖公司章生效，提供了上述标书评审表。</w:t>
            </w:r>
          </w:p>
        </w:tc>
        <w:tc>
          <w:tcPr>
            <w:tcW w:w="780" w:type="dxa"/>
          </w:tcPr>
          <w:p>
            <w:pP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center"/>
          </w:tcPr>
          <w:p>
            <w:pPr>
              <w:rPr>
                <w:rFonts w:hint="eastAsia" w:ascii="华文楷体" w:hAnsi="华文楷体" w:eastAsia="华文楷体" w:cs="华文楷体"/>
                <w:sz w:val="21"/>
                <w:szCs w:val="21"/>
              </w:rPr>
            </w:pPr>
            <w:r>
              <w:rPr>
                <w:rFonts w:hint="eastAsia" w:ascii="华文楷体" w:hAnsi="华文楷体" w:eastAsia="华文楷体" w:cs="华文楷体"/>
                <w:sz w:val="21"/>
                <w:szCs w:val="21"/>
              </w:rPr>
              <w:t>产品和服务要求的变更</w:t>
            </w:r>
          </w:p>
        </w:tc>
        <w:tc>
          <w:tcPr>
            <w:tcW w:w="992" w:type="dxa"/>
            <w:vAlign w:val="center"/>
          </w:tcPr>
          <w:p>
            <w:pPr>
              <w:rPr>
                <w:rFonts w:hint="eastAsia" w:ascii="华文楷体" w:hAnsi="华文楷体" w:eastAsia="华文楷体" w:cs="华文楷体"/>
                <w:sz w:val="21"/>
                <w:szCs w:val="21"/>
              </w:rPr>
            </w:pPr>
            <w:r>
              <w:rPr>
                <w:rFonts w:hint="eastAsia" w:ascii="华文楷体" w:hAnsi="华文楷体" w:eastAsia="华文楷体" w:cs="华文楷体"/>
                <w:sz w:val="21"/>
                <w:szCs w:val="21"/>
              </w:rPr>
              <w:t>Q 8.2.4</w:t>
            </w:r>
          </w:p>
          <w:p>
            <w:pPr>
              <w:rPr>
                <w:rFonts w:hint="eastAsia" w:ascii="华文楷体" w:hAnsi="华文楷体" w:eastAsia="华文楷体" w:cs="华文楷体"/>
                <w:sz w:val="21"/>
                <w:szCs w:val="21"/>
              </w:rPr>
            </w:pPr>
            <w:r>
              <w:rPr>
                <w:rFonts w:hint="eastAsia" w:ascii="华文楷体" w:hAnsi="华文楷体" w:eastAsia="华文楷体" w:cs="华文楷体"/>
                <w:sz w:val="21"/>
                <w:szCs w:val="21"/>
              </w:rPr>
              <w:t>（6.3）</w:t>
            </w:r>
          </w:p>
        </w:tc>
        <w:tc>
          <w:tcPr>
            <w:tcW w:w="11836" w:type="dxa"/>
            <w:vAlign w:val="center"/>
          </w:tcPr>
          <w:p>
            <w:pPr>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查以上合同自签定及</w:t>
            </w:r>
            <w:r>
              <w:rPr>
                <w:rFonts w:hint="eastAsia" w:ascii="华文楷体" w:hAnsi="华文楷体" w:eastAsia="华文楷体" w:cs="华文楷体"/>
                <w:sz w:val="21"/>
                <w:szCs w:val="21"/>
                <w:lang w:val="en-US" w:eastAsia="zh-CN"/>
              </w:rPr>
              <w:t>经营管理部</w:t>
            </w:r>
            <w:r>
              <w:rPr>
                <w:rFonts w:hint="eastAsia" w:ascii="华文楷体" w:hAnsi="华文楷体" w:eastAsia="华文楷体" w:cs="华文楷体"/>
                <w:sz w:val="21"/>
                <w:szCs w:val="21"/>
              </w:rPr>
              <w:t>部长</w:t>
            </w:r>
            <w:r>
              <w:rPr>
                <w:rFonts w:hint="eastAsia" w:ascii="华文楷体" w:hAnsi="华文楷体" w:eastAsia="华文楷体" w:cs="华文楷体"/>
                <w:sz w:val="21"/>
                <w:szCs w:val="21"/>
                <w:lang w:val="en-US" w:eastAsia="zh-CN"/>
              </w:rPr>
              <w:t>的</w:t>
            </w:r>
            <w:r>
              <w:rPr>
                <w:rFonts w:hint="eastAsia" w:ascii="华文楷体" w:hAnsi="华文楷体" w:eastAsia="华文楷体" w:cs="华文楷体"/>
                <w:sz w:val="21"/>
                <w:szCs w:val="21"/>
              </w:rPr>
              <w:t>介绍，由于公司未出现合同变更或顾客要求发生变更造成与先前合同或订单要求表述存在差异的情况。未发生合同变更的情况。</w:t>
            </w:r>
          </w:p>
        </w:tc>
        <w:tc>
          <w:tcPr>
            <w:tcW w:w="780" w:type="dxa"/>
          </w:tcPr>
          <w:p>
            <w:pP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top"/>
          </w:tcPr>
          <w:p>
            <w:pPr>
              <w:spacing w:line="280" w:lineRule="exac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外部提供过程、服务和服务的控制</w:t>
            </w:r>
          </w:p>
          <w:p>
            <w:pPr>
              <w:spacing w:line="280" w:lineRule="exact"/>
              <w:rPr>
                <w:rFonts w:hint="eastAsia" w:ascii="华文楷体" w:hAnsi="华文楷体" w:eastAsia="华文楷体" w:cs="华文楷体"/>
                <w:color w:val="auto"/>
                <w:sz w:val="21"/>
                <w:szCs w:val="21"/>
              </w:rPr>
            </w:pPr>
          </w:p>
        </w:tc>
        <w:tc>
          <w:tcPr>
            <w:tcW w:w="992" w:type="dxa"/>
            <w:vAlign w:val="top"/>
          </w:tcPr>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b/>
                <w:bCs/>
                <w:color w:val="auto"/>
                <w:sz w:val="21"/>
                <w:szCs w:val="21"/>
              </w:rPr>
              <w:t>Q/J</w:t>
            </w:r>
            <w:r>
              <w:rPr>
                <w:rFonts w:hint="eastAsia" w:ascii="华文楷体" w:hAnsi="华文楷体" w:eastAsia="华文楷体" w:cs="华文楷体"/>
                <w:b/>
                <w:color w:val="auto"/>
                <w:sz w:val="21"/>
                <w:szCs w:val="21"/>
              </w:rPr>
              <w:t xml:space="preserve"> 8.4/(</w:t>
            </w:r>
            <w:r>
              <w:rPr>
                <w:rFonts w:hint="eastAsia" w:ascii="华文楷体" w:hAnsi="华文楷体" w:eastAsia="华文楷体" w:cs="华文楷体"/>
                <w:b/>
                <w:i/>
                <w:iCs/>
                <w:color w:val="auto"/>
                <w:sz w:val="21"/>
                <w:szCs w:val="21"/>
              </w:rPr>
              <w:t>9.1-9.3;8.1-8.4)</w:t>
            </w:r>
          </w:p>
        </w:tc>
        <w:tc>
          <w:tcPr>
            <w:tcW w:w="11836" w:type="dxa"/>
            <w:vAlign w:val="center"/>
          </w:tcPr>
          <w:p>
            <w:pPr>
              <w:pStyle w:val="17"/>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编制了《材料构配件和设备采购采购管理制度》，工程项目施工质量管理制度</w:t>
            </w:r>
          </w:p>
          <w:p>
            <w:pPr>
              <w:pStyle w:val="17"/>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查到公司与供方签订合同：公司供方及采购产品主要为：</w:t>
            </w:r>
          </w:p>
          <w:p>
            <w:pPr>
              <w:pStyle w:val="18"/>
              <w:spacing w:before="22" w:line="278" w:lineRule="auto"/>
              <w:ind w:right="103"/>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抽查1、</w:t>
            </w:r>
            <w:r>
              <w:rPr>
                <w:rFonts w:hint="eastAsia" w:ascii="华文楷体" w:hAnsi="华文楷体" w:eastAsia="华文楷体" w:cs="华文楷体"/>
                <w:color w:val="auto"/>
                <w:sz w:val="21"/>
                <w:szCs w:val="21"/>
                <w:lang w:val="en-US" w:eastAsia="zh-CN"/>
              </w:rPr>
              <w:t>浙江家爱伊工贸有限公司</w:t>
            </w:r>
            <w:r>
              <w:rPr>
                <w:rFonts w:hint="eastAsia" w:ascii="华文楷体" w:hAnsi="华文楷体" w:eastAsia="华文楷体" w:cs="华文楷体"/>
                <w:color w:val="auto"/>
                <w:sz w:val="21"/>
                <w:szCs w:val="21"/>
              </w:rPr>
              <w:t>（提供</w:t>
            </w:r>
            <w:r>
              <w:rPr>
                <w:rFonts w:hint="eastAsia" w:ascii="华文楷体" w:hAnsi="华文楷体" w:eastAsia="华文楷体" w:cs="华文楷体"/>
                <w:color w:val="auto"/>
                <w:sz w:val="21"/>
                <w:szCs w:val="21"/>
                <w:lang w:val="en-US" w:eastAsia="zh-CN"/>
              </w:rPr>
              <w:t>钢筋</w:t>
            </w: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color w:val="auto"/>
                <w:sz w:val="21"/>
                <w:szCs w:val="21"/>
                <w:lang w:val="en-US" w:eastAsia="zh-CN"/>
              </w:rPr>
              <w:t>；</w:t>
            </w:r>
          </w:p>
          <w:p>
            <w:pPr>
              <w:pStyle w:val="17"/>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抽查2、</w:t>
            </w:r>
            <w:r>
              <w:rPr>
                <w:rFonts w:hint="eastAsia" w:ascii="华文楷体" w:hAnsi="华文楷体" w:eastAsia="华文楷体" w:cs="华文楷体"/>
                <w:color w:val="auto"/>
                <w:sz w:val="21"/>
                <w:szCs w:val="21"/>
                <w:lang w:val="en-US" w:eastAsia="zh-CN"/>
              </w:rPr>
              <w:t>遂昌县珂韩挖掘机租赁服务部</w:t>
            </w:r>
            <w:r>
              <w:rPr>
                <w:rFonts w:hint="eastAsia" w:ascii="华文楷体" w:hAnsi="华文楷体" w:eastAsia="华文楷体" w:cs="华文楷体"/>
                <w:color w:val="auto"/>
                <w:sz w:val="21"/>
                <w:szCs w:val="21"/>
              </w:rPr>
              <w:t xml:space="preserve"> （提供</w:t>
            </w:r>
            <w:r>
              <w:rPr>
                <w:rFonts w:hint="eastAsia" w:ascii="华文楷体" w:hAnsi="华文楷体" w:eastAsia="华文楷体" w:cs="华文楷体"/>
                <w:color w:val="auto"/>
                <w:sz w:val="21"/>
                <w:szCs w:val="21"/>
                <w:lang w:val="en-US" w:eastAsia="zh-CN"/>
              </w:rPr>
              <w:t>挖掘机设备</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w:t>
            </w:r>
          </w:p>
          <w:p>
            <w:pPr>
              <w:pStyle w:val="17"/>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抽查3、</w:t>
            </w:r>
            <w:r>
              <w:rPr>
                <w:rFonts w:hint="eastAsia" w:ascii="华文楷体" w:hAnsi="华文楷体" w:eastAsia="华文楷体" w:cs="华文楷体"/>
                <w:color w:val="auto"/>
                <w:sz w:val="21"/>
                <w:szCs w:val="21"/>
                <w:lang w:val="en-US" w:eastAsia="zh-CN"/>
              </w:rPr>
              <w:t>遂昌青龙山建材有限公司</w:t>
            </w:r>
            <w:r>
              <w:rPr>
                <w:rFonts w:hint="eastAsia" w:ascii="华文楷体" w:hAnsi="华文楷体" w:eastAsia="华文楷体" w:cs="华文楷体"/>
                <w:color w:val="auto"/>
                <w:sz w:val="21"/>
                <w:szCs w:val="21"/>
              </w:rPr>
              <w:t>（提供</w:t>
            </w:r>
            <w:r>
              <w:rPr>
                <w:rFonts w:hint="eastAsia" w:ascii="华文楷体" w:hAnsi="华文楷体" w:eastAsia="华文楷体" w:cs="华文楷体"/>
                <w:color w:val="auto"/>
                <w:sz w:val="21"/>
                <w:szCs w:val="21"/>
                <w:lang w:val="en-US" w:eastAsia="zh-CN"/>
              </w:rPr>
              <w:t>水泥</w:t>
            </w: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color w:val="auto"/>
                <w:sz w:val="21"/>
                <w:szCs w:val="21"/>
                <w:lang w:val="en-US" w:eastAsia="zh-CN"/>
              </w:rPr>
              <w:t>；</w:t>
            </w:r>
          </w:p>
          <w:p>
            <w:pPr>
              <w:pStyle w:val="17"/>
              <w:rPr>
                <w:rFonts w:hint="eastAsia" w:ascii="华文楷体" w:hAnsi="华文楷体" w:eastAsia="华文楷体" w:cs="华文楷体"/>
                <w:bCs w:val="0"/>
                <w:color w:val="auto"/>
                <w:sz w:val="21"/>
                <w:szCs w:val="21"/>
                <w:lang w:val="en-US" w:eastAsia="zh-CN"/>
              </w:rPr>
            </w:pPr>
            <w:r>
              <w:rPr>
                <w:rFonts w:hint="eastAsia" w:ascii="华文楷体" w:hAnsi="华文楷体" w:eastAsia="华文楷体" w:cs="华文楷体"/>
                <w:color w:val="auto"/>
                <w:sz w:val="21"/>
                <w:szCs w:val="21"/>
              </w:rPr>
              <w:t>抽查4、</w:t>
            </w:r>
            <w:r>
              <w:rPr>
                <w:rFonts w:hint="eastAsia" w:ascii="华文楷体" w:hAnsi="华文楷体" w:eastAsia="华文楷体" w:cs="华文楷体"/>
                <w:color w:val="auto"/>
                <w:sz w:val="21"/>
                <w:szCs w:val="21"/>
                <w:lang w:val="en-US" w:eastAsia="zh-CN"/>
              </w:rPr>
              <w:t>遂昌东城建材有限公司</w:t>
            </w:r>
            <w:r>
              <w:rPr>
                <w:rFonts w:hint="eastAsia" w:ascii="华文楷体" w:hAnsi="华文楷体" w:eastAsia="华文楷体" w:cs="华文楷体"/>
                <w:bCs w:val="0"/>
                <w:color w:val="auto"/>
                <w:sz w:val="21"/>
                <w:szCs w:val="21"/>
              </w:rPr>
              <w:t>（</w:t>
            </w:r>
            <w:r>
              <w:rPr>
                <w:rFonts w:hint="eastAsia" w:ascii="华文楷体" w:hAnsi="华文楷体" w:eastAsia="华文楷体" w:cs="华文楷体"/>
                <w:bCs w:val="0"/>
                <w:color w:val="auto"/>
                <w:sz w:val="21"/>
                <w:szCs w:val="21"/>
                <w:lang w:val="en-US" w:eastAsia="zh-CN"/>
              </w:rPr>
              <w:t>提供</w:t>
            </w:r>
            <w:r>
              <w:rPr>
                <w:rFonts w:hint="eastAsia" w:ascii="华文楷体" w:hAnsi="华文楷体" w:eastAsia="华文楷体" w:cs="华文楷体"/>
                <w:color w:val="auto"/>
                <w:sz w:val="21"/>
                <w:szCs w:val="21"/>
                <w:lang w:val="en-US" w:eastAsia="zh-CN"/>
              </w:rPr>
              <w:t>商品混凝土</w:t>
            </w:r>
            <w:r>
              <w:rPr>
                <w:rFonts w:hint="eastAsia" w:ascii="华文楷体" w:hAnsi="华文楷体" w:eastAsia="华文楷体" w:cs="华文楷体"/>
                <w:bCs w:val="0"/>
                <w:color w:val="auto"/>
                <w:sz w:val="21"/>
                <w:szCs w:val="21"/>
              </w:rPr>
              <w:t>）</w:t>
            </w:r>
            <w:r>
              <w:rPr>
                <w:rFonts w:hint="eastAsia" w:ascii="华文楷体" w:hAnsi="华文楷体" w:eastAsia="华文楷体" w:cs="华文楷体"/>
                <w:bCs w:val="0"/>
                <w:color w:val="auto"/>
                <w:sz w:val="21"/>
                <w:szCs w:val="21"/>
                <w:lang w:val="en-US" w:eastAsia="zh-CN"/>
              </w:rPr>
              <w:t>；</w:t>
            </w:r>
          </w:p>
          <w:p>
            <w:pPr>
              <w:pStyle w:val="17"/>
              <w:rPr>
                <w:rFonts w:hint="eastAsia" w:ascii="华文楷体" w:hAnsi="华文楷体" w:eastAsia="华文楷体" w:cs="华文楷体"/>
                <w:color w:val="FF0000"/>
                <w:sz w:val="21"/>
                <w:szCs w:val="21"/>
              </w:rPr>
            </w:pPr>
            <w:r>
              <w:rPr>
                <w:rFonts w:hint="eastAsia" w:ascii="华文楷体" w:hAnsi="华文楷体" w:eastAsia="华文楷体" w:cs="华文楷体"/>
                <w:color w:val="auto"/>
                <w:sz w:val="21"/>
                <w:szCs w:val="21"/>
              </w:rPr>
              <w:t>抽查</w:t>
            </w:r>
            <w:r>
              <w:rPr>
                <w:rFonts w:hint="eastAsia" w:ascii="华文楷体" w:hAnsi="华文楷体" w:eastAsia="华文楷体" w:cs="华文楷体"/>
                <w:color w:val="auto"/>
                <w:sz w:val="21"/>
                <w:szCs w:val="21"/>
                <w:lang w:val="en-US" w:eastAsia="zh-CN"/>
              </w:rPr>
              <w:t>5、遂昌金岸砂石料场</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提供砂石</w:t>
            </w:r>
            <w:r>
              <w:rPr>
                <w:rFonts w:hint="eastAsia" w:ascii="华文楷体" w:hAnsi="华文楷体" w:eastAsia="华文楷体" w:cs="华文楷体"/>
                <w:color w:val="auto"/>
                <w:sz w:val="21"/>
                <w:szCs w:val="21"/>
                <w:lang w:eastAsia="zh-CN"/>
              </w:rPr>
              <w:t>）</w:t>
            </w:r>
          </w:p>
          <w:p>
            <w:pPr>
              <w:spacing w:line="360" w:lineRule="auto"/>
              <w:jc w:val="both"/>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提供2022年10月10日供方评价记录表，评价的内容有：</w:t>
            </w:r>
            <w:r>
              <w:rPr>
                <w:rFonts w:hint="eastAsia" w:ascii="华文楷体" w:hAnsi="华文楷体" w:eastAsia="华文楷体" w:cs="华文楷体"/>
                <w:sz w:val="21"/>
                <w:szCs w:val="21"/>
              </w:rPr>
              <w:t>生产能力和供应能力情况</w:t>
            </w:r>
            <w:r>
              <w:rPr>
                <w:rFonts w:hint="eastAsia" w:ascii="华文楷体" w:hAnsi="华文楷体" w:eastAsia="华文楷体" w:cs="华文楷体"/>
                <w:sz w:val="21"/>
                <w:szCs w:val="21"/>
                <w:lang w:eastAsia="zh-CN"/>
              </w:rPr>
              <w:t>、</w:t>
            </w:r>
            <w:r>
              <w:rPr>
                <w:rFonts w:hint="eastAsia" w:ascii="华文楷体" w:hAnsi="华文楷体" w:eastAsia="华文楷体" w:cs="华文楷体"/>
                <w:sz w:val="21"/>
                <w:szCs w:val="21"/>
              </w:rPr>
              <w:t>历史及社会信誉情况</w:t>
            </w:r>
            <w:r>
              <w:rPr>
                <w:rFonts w:hint="eastAsia" w:ascii="华文楷体" w:hAnsi="华文楷体" w:eastAsia="华文楷体" w:cs="华文楷体"/>
                <w:sz w:val="21"/>
                <w:szCs w:val="21"/>
                <w:lang w:eastAsia="zh-CN"/>
              </w:rPr>
              <w:t>、</w:t>
            </w:r>
            <w:r>
              <w:rPr>
                <w:rFonts w:hint="eastAsia" w:ascii="华文楷体" w:hAnsi="华文楷体" w:eastAsia="华文楷体" w:cs="华文楷体"/>
                <w:sz w:val="21"/>
                <w:szCs w:val="21"/>
              </w:rPr>
              <w:t>质量及以往 使用情况</w:t>
            </w:r>
            <w:r>
              <w:rPr>
                <w:rFonts w:hint="eastAsia" w:ascii="华文楷体" w:hAnsi="华文楷体" w:eastAsia="华文楷体" w:cs="华文楷体"/>
                <w:sz w:val="21"/>
                <w:szCs w:val="21"/>
                <w:lang w:val="en-US" w:eastAsia="zh-CN"/>
              </w:rPr>
              <w:t>等，</w:t>
            </w:r>
            <w:r>
              <w:rPr>
                <w:rFonts w:hint="eastAsia" w:ascii="华文楷体" w:hAnsi="华文楷体" w:eastAsia="华文楷体" w:cs="华文楷体"/>
                <w:sz w:val="21"/>
                <w:szCs w:val="21"/>
              </w:rPr>
              <w:t>参加评审人：</w:t>
            </w:r>
            <w:r>
              <w:rPr>
                <w:rFonts w:hint="eastAsia" w:ascii="华文楷体" w:hAnsi="华文楷体" w:eastAsia="华文楷体" w:cs="华文楷体"/>
                <w:sz w:val="21"/>
                <w:szCs w:val="21"/>
                <w:lang w:val="en-US" w:eastAsia="zh-CN"/>
              </w:rPr>
              <w:t>毛立荣、华之争、戴樟芽</w:t>
            </w:r>
            <w:r>
              <w:rPr>
                <w:rFonts w:hint="eastAsia" w:ascii="华文楷体" w:hAnsi="华文楷体" w:eastAsia="华文楷体" w:cs="华文楷体"/>
                <w:color w:val="000000"/>
                <w:spacing w:val="0"/>
                <w:w w:val="100"/>
                <w:position w:val="0"/>
                <w:sz w:val="21"/>
                <w:szCs w:val="21"/>
                <w:lang w:val="en-US" w:eastAsia="zh-CN"/>
              </w:rPr>
              <w:t>，</w:t>
            </w:r>
            <w:r>
              <w:rPr>
                <w:rFonts w:hint="eastAsia" w:ascii="华文楷体" w:hAnsi="华文楷体" w:eastAsia="华文楷体" w:cs="华文楷体"/>
                <w:sz w:val="21"/>
                <w:szCs w:val="21"/>
                <w:lang w:val="en-US" w:eastAsia="zh-CN"/>
              </w:rPr>
              <w:t>批准人：水永明。</w:t>
            </w:r>
            <w:r>
              <w:rPr>
                <w:rFonts w:hint="eastAsia" w:ascii="华文楷体" w:hAnsi="华文楷体" w:eastAsia="华文楷体" w:cs="华文楷体"/>
                <w:sz w:val="21"/>
                <w:szCs w:val="21"/>
              </w:rPr>
              <w:t xml:space="preserve"> </w:t>
            </w:r>
          </w:p>
          <w:p>
            <w:pPr>
              <w:pStyle w:val="17"/>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提供合格供方名单</w:t>
            </w:r>
          </w:p>
          <w:p>
            <w:pPr>
              <w:pStyle w:val="17"/>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drawing>
                <wp:inline distT="0" distB="0" distL="114300" distR="114300">
                  <wp:extent cx="6437630" cy="2450465"/>
                  <wp:effectExtent l="0" t="0" r="8890" b="3175"/>
                  <wp:docPr id="8" name="图片 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
                          <pic:cNvPicPr>
                            <a:picLocks noChangeAspect="1"/>
                          </pic:cNvPicPr>
                        </pic:nvPicPr>
                        <pic:blipFill>
                          <a:blip r:embed="rId7"/>
                          <a:stretch>
                            <a:fillRect/>
                          </a:stretch>
                        </pic:blipFill>
                        <pic:spPr>
                          <a:xfrm>
                            <a:off x="0" y="0"/>
                            <a:ext cx="6437630" cy="2450465"/>
                          </a:xfrm>
                          <a:prstGeom prst="rect">
                            <a:avLst/>
                          </a:prstGeom>
                        </pic:spPr>
                      </pic:pic>
                    </a:graphicData>
                  </a:graphic>
                </wp:inline>
              </w:drawing>
            </w:r>
          </w:p>
          <w:p>
            <w:pPr>
              <w:pStyle w:val="17"/>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lang w:val="en-US" w:eastAsia="zh-CN"/>
              </w:rPr>
              <w:t>抽查供应商评价的能力证明，</w:t>
            </w:r>
            <w:r>
              <w:rPr>
                <w:rFonts w:hint="eastAsia" w:ascii="华文楷体" w:hAnsi="华文楷体" w:eastAsia="华文楷体" w:cs="华文楷体"/>
                <w:color w:val="auto"/>
                <w:sz w:val="21"/>
                <w:szCs w:val="21"/>
                <w:highlight w:val="none"/>
              </w:rPr>
              <w:t>抽查1：</w:t>
            </w:r>
            <w:r>
              <w:rPr>
                <w:rFonts w:hint="eastAsia" w:ascii="华文楷体" w:hAnsi="华文楷体" w:eastAsia="华文楷体" w:cs="华文楷体"/>
                <w:color w:val="auto"/>
                <w:sz w:val="21"/>
                <w:szCs w:val="21"/>
                <w:highlight w:val="none"/>
                <w:lang w:val="en-US" w:eastAsia="zh-CN"/>
              </w:rPr>
              <w:t>钢筋供应商：</w:t>
            </w:r>
            <w:r>
              <w:rPr>
                <w:rFonts w:hint="eastAsia" w:ascii="华文楷体" w:hAnsi="华文楷体" w:eastAsia="华文楷体" w:cs="华文楷体"/>
                <w:color w:val="auto"/>
                <w:sz w:val="21"/>
                <w:szCs w:val="21"/>
                <w:lang w:val="en-US" w:eastAsia="zh-CN"/>
              </w:rPr>
              <w:t>浙江家爱伊工贸有限公司</w:t>
            </w:r>
          </w:p>
          <w:p>
            <w:pPr>
              <w:pStyle w:val="17"/>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highlight w:val="none"/>
              </w:rPr>
              <w:t>公司提供了</w:t>
            </w:r>
            <w:r>
              <w:rPr>
                <w:rFonts w:hint="eastAsia" w:ascii="华文楷体" w:hAnsi="华文楷体" w:eastAsia="华文楷体" w:cs="华文楷体"/>
                <w:color w:val="auto"/>
                <w:sz w:val="21"/>
                <w:szCs w:val="21"/>
                <w:lang w:val="en-US" w:eastAsia="zh-CN"/>
              </w:rPr>
              <w:t xml:space="preserve">其营业执照、产品质量证明书等； </w:t>
            </w:r>
          </w:p>
          <w:p>
            <w:pPr>
              <w:pStyle w:val="17"/>
              <w:rPr>
                <w:rFonts w:hint="eastAsia" w:ascii="华文楷体" w:hAnsi="华文楷体" w:eastAsia="华文楷体" w:cs="华文楷体"/>
                <w:color w:val="auto"/>
                <w:sz w:val="21"/>
                <w:szCs w:val="21"/>
                <w:lang w:val="en-US" w:eastAsia="zh-CN"/>
              </w:rPr>
            </w:pPr>
          </w:p>
          <w:p>
            <w:pPr>
              <w:pStyle w:val="17"/>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drawing>
                <wp:inline distT="0" distB="0" distL="114300" distR="114300">
                  <wp:extent cx="2206625" cy="3136265"/>
                  <wp:effectExtent l="0" t="0" r="3175" b="3175"/>
                  <wp:docPr id="12" name="图片 12" descr="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营业执照"/>
                          <pic:cNvPicPr>
                            <a:picLocks noChangeAspect="1"/>
                          </pic:cNvPicPr>
                        </pic:nvPicPr>
                        <pic:blipFill>
                          <a:blip r:embed="rId8"/>
                          <a:stretch>
                            <a:fillRect/>
                          </a:stretch>
                        </pic:blipFill>
                        <pic:spPr>
                          <a:xfrm>
                            <a:off x="0" y="0"/>
                            <a:ext cx="2206625" cy="3136265"/>
                          </a:xfrm>
                          <a:prstGeom prst="rect">
                            <a:avLst/>
                          </a:prstGeom>
                        </pic:spPr>
                      </pic:pic>
                    </a:graphicData>
                  </a:graphic>
                </wp:inline>
              </w:drawing>
            </w:r>
            <w:r>
              <w:rPr>
                <w:rFonts w:hint="eastAsia" w:ascii="华文楷体" w:hAnsi="华文楷体" w:eastAsia="华文楷体" w:cs="华文楷体"/>
                <w:color w:val="auto"/>
                <w:sz w:val="21"/>
                <w:szCs w:val="21"/>
                <w:lang w:val="en-US" w:eastAsia="zh-CN"/>
              </w:rPr>
              <w:t xml:space="preserve">  </w:t>
            </w:r>
            <w:r>
              <w:rPr>
                <w:rFonts w:hint="eastAsia" w:ascii="华文楷体" w:hAnsi="华文楷体" w:eastAsia="华文楷体" w:cs="华文楷体"/>
                <w:color w:val="auto"/>
                <w:sz w:val="21"/>
                <w:szCs w:val="21"/>
                <w:lang w:val="en-US" w:eastAsia="zh-CN"/>
              </w:rPr>
              <w:drawing>
                <wp:inline distT="0" distB="0" distL="114300" distR="114300">
                  <wp:extent cx="2409825" cy="3357245"/>
                  <wp:effectExtent l="0" t="0" r="13335" b="10795"/>
                  <wp:docPr id="13" name="图片 13" descr="微信截图_2022030913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截图_20220309131422"/>
                          <pic:cNvPicPr>
                            <a:picLocks noChangeAspect="1"/>
                          </pic:cNvPicPr>
                        </pic:nvPicPr>
                        <pic:blipFill>
                          <a:blip r:embed="rId9"/>
                          <a:stretch>
                            <a:fillRect/>
                          </a:stretch>
                        </pic:blipFill>
                        <pic:spPr>
                          <a:xfrm>
                            <a:off x="0" y="0"/>
                            <a:ext cx="2409825" cy="3357245"/>
                          </a:xfrm>
                          <a:prstGeom prst="rect">
                            <a:avLst/>
                          </a:prstGeom>
                        </pic:spPr>
                      </pic:pic>
                    </a:graphicData>
                  </a:graphic>
                </wp:inline>
              </w:drawing>
            </w:r>
            <w:r>
              <w:rPr>
                <w:rFonts w:hint="eastAsia" w:ascii="华文楷体" w:hAnsi="华文楷体" w:eastAsia="华文楷体" w:cs="华文楷体"/>
                <w:color w:val="auto"/>
                <w:sz w:val="21"/>
                <w:szCs w:val="21"/>
                <w:lang w:val="en-US" w:eastAsia="zh-CN"/>
              </w:rPr>
              <w:drawing>
                <wp:inline distT="0" distB="0" distL="114300" distR="114300">
                  <wp:extent cx="2415540" cy="3414395"/>
                  <wp:effectExtent l="0" t="0" r="7620" b="14605"/>
                  <wp:docPr id="14" name="图片 14" descr="微信截图_2022030913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截图_20220309131523"/>
                          <pic:cNvPicPr>
                            <a:picLocks noChangeAspect="1"/>
                          </pic:cNvPicPr>
                        </pic:nvPicPr>
                        <pic:blipFill>
                          <a:blip r:embed="rId10"/>
                          <a:stretch>
                            <a:fillRect/>
                          </a:stretch>
                        </pic:blipFill>
                        <pic:spPr>
                          <a:xfrm>
                            <a:off x="0" y="0"/>
                            <a:ext cx="2415540" cy="3414395"/>
                          </a:xfrm>
                          <a:prstGeom prst="rect">
                            <a:avLst/>
                          </a:prstGeom>
                        </pic:spPr>
                      </pic:pic>
                    </a:graphicData>
                  </a:graphic>
                </wp:inline>
              </w:drawing>
            </w:r>
          </w:p>
          <w:p>
            <w:pPr>
              <w:pStyle w:val="17"/>
              <w:rPr>
                <w:rFonts w:hint="eastAsia" w:ascii="华文楷体" w:hAnsi="华文楷体" w:eastAsia="华文楷体" w:cs="华文楷体"/>
                <w:color w:val="auto"/>
                <w:sz w:val="21"/>
                <w:szCs w:val="21"/>
                <w:lang w:val="en-US" w:eastAsia="zh-CN"/>
              </w:rPr>
            </w:pPr>
          </w:p>
          <w:p>
            <w:pPr>
              <w:pStyle w:val="17"/>
              <w:rPr>
                <w:rFonts w:hint="eastAsia" w:ascii="华文楷体" w:hAnsi="华文楷体" w:eastAsia="华文楷体" w:cs="华文楷体"/>
                <w:color w:val="FF0000"/>
                <w:sz w:val="21"/>
                <w:szCs w:val="21"/>
              </w:rPr>
            </w:pPr>
            <w:r>
              <w:rPr>
                <w:rFonts w:hint="eastAsia" w:ascii="华文楷体" w:hAnsi="华文楷体" w:eastAsia="华文楷体" w:cs="华文楷体"/>
                <w:color w:val="auto"/>
                <w:sz w:val="21"/>
                <w:szCs w:val="21"/>
                <w:lang w:val="en-US" w:eastAsia="zh-CN"/>
              </w:rPr>
              <w:t>戴梓芽经理</w:t>
            </w:r>
            <w:r>
              <w:rPr>
                <w:rFonts w:hint="eastAsia" w:ascii="华文楷体" w:hAnsi="华文楷体" w:eastAsia="华文楷体" w:cs="华文楷体"/>
                <w:color w:val="auto"/>
                <w:sz w:val="21"/>
                <w:szCs w:val="21"/>
              </w:rPr>
              <w:t>介绍;如果对于入场验证不合格的</w:t>
            </w:r>
            <w:r>
              <w:rPr>
                <w:rFonts w:hint="eastAsia" w:ascii="华文楷体" w:hAnsi="华文楷体" w:eastAsia="华文楷体" w:cs="华文楷体"/>
                <w:color w:val="auto"/>
                <w:sz w:val="21"/>
                <w:szCs w:val="21"/>
                <w:lang w:val="en-US" w:eastAsia="zh-CN"/>
              </w:rPr>
              <w:t>材料、</w:t>
            </w:r>
            <w:r>
              <w:rPr>
                <w:rFonts w:hint="eastAsia" w:ascii="华文楷体" w:hAnsi="华文楷体" w:eastAsia="华文楷体" w:cs="华文楷体"/>
                <w:color w:val="auto"/>
                <w:sz w:val="21"/>
                <w:szCs w:val="21"/>
              </w:rPr>
              <w:t>设备,公司对供应商提出整改时间/整改状态进行退换处理，但目前没有入场验收出现不合格的情况。</w:t>
            </w:r>
          </w:p>
        </w:tc>
        <w:tc>
          <w:tcPr>
            <w:tcW w:w="780" w:type="dxa"/>
          </w:tcPr>
          <w:p>
            <w:pPr>
              <w:rPr>
                <w:rFonts w:hint="eastAsia" w:ascii="华文楷体" w:hAnsi="华文楷体" w:eastAsia="华文楷体" w:cs="华文楷体"/>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101" w:type="dxa"/>
          </w:tcPr>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顾客满意</w:t>
            </w:r>
          </w:p>
          <w:p>
            <w:pPr>
              <w:spacing w:line="280" w:lineRule="exact"/>
              <w:rPr>
                <w:rFonts w:hint="eastAsia" w:ascii="华文楷体" w:hAnsi="华文楷体" w:eastAsia="华文楷体" w:cs="华文楷体"/>
                <w:b/>
                <w:color w:val="auto"/>
                <w:sz w:val="21"/>
                <w:szCs w:val="21"/>
              </w:rPr>
            </w:pPr>
          </w:p>
        </w:tc>
        <w:tc>
          <w:tcPr>
            <w:tcW w:w="992" w:type="dxa"/>
          </w:tcPr>
          <w:p>
            <w:pPr>
              <w:spacing w:line="300" w:lineRule="exact"/>
              <w:rPr>
                <w:rFonts w:hint="eastAsia" w:ascii="华文楷体" w:hAnsi="华文楷体" w:eastAsia="华文楷体" w:cs="华文楷体"/>
                <w:b/>
                <w:bCs/>
                <w:color w:val="auto"/>
                <w:sz w:val="21"/>
                <w:szCs w:val="21"/>
              </w:rPr>
            </w:pPr>
            <w:r>
              <w:rPr>
                <w:rFonts w:hint="eastAsia" w:ascii="华文楷体" w:hAnsi="华文楷体" w:eastAsia="华文楷体" w:cs="华文楷体"/>
                <w:b/>
                <w:color w:val="auto"/>
                <w:sz w:val="21"/>
                <w:szCs w:val="21"/>
              </w:rPr>
              <w:t>Q9.1.2/</w:t>
            </w:r>
            <w:r>
              <w:rPr>
                <w:rFonts w:hint="eastAsia" w:ascii="华文楷体" w:hAnsi="华文楷体" w:eastAsia="华文楷体" w:cs="华文楷体"/>
                <w:b/>
                <w:bCs/>
                <w:color w:val="auto"/>
                <w:sz w:val="21"/>
                <w:szCs w:val="21"/>
              </w:rPr>
              <w:t>(10.7)</w:t>
            </w:r>
          </w:p>
          <w:p>
            <w:pPr>
              <w:spacing w:line="280" w:lineRule="exact"/>
              <w:rPr>
                <w:rFonts w:hint="eastAsia" w:ascii="华文楷体" w:hAnsi="华文楷体" w:eastAsia="华文楷体" w:cs="华文楷体"/>
                <w:color w:val="auto"/>
                <w:sz w:val="21"/>
                <w:szCs w:val="21"/>
              </w:rPr>
            </w:pPr>
          </w:p>
        </w:tc>
        <w:tc>
          <w:tcPr>
            <w:tcW w:w="11836" w:type="dxa"/>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公司已建立和保持了《顾客满意度调查控制程序》，对顾客满意的监测的相关内容进行了规定，其包括了对调查方式、渠道、内容、频率等。相关方期望和要求识别表编号： 公司采取对主要顾客进行满意度调查的形式，共发出</w:t>
            </w:r>
            <w:r>
              <w:rPr>
                <w:rFonts w:hint="eastAsia" w:ascii="华文楷体" w:hAnsi="华文楷体" w:eastAsia="华文楷体" w:cs="华文楷体"/>
                <w:color w:val="auto"/>
                <w:sz w:val="21"/>
                <w:szCs w:val="21"/>
                <w:lang w:val="en-US" w:eastAsia="zh-CN"/>
              </w:rPr>
              <w:t>3</w:t>
            </w:r>
            <w:r>
              <w:rPr>
                <w:rFonts w:hint="eastAsia" w:ascii="华文楷体" w:hAnsi="华文楷体" w:eastAsia="华文楷体" w:cs="华文楷体"/>
                <w:color w:val="auto"/>
                <w:sz w:val="21"/>
                <w:szCs w:val="21"/>
              </w:rPr>
              <w:t>份《顾客满意度调查表》，有效回收：抽查到</w:t>
            </w:r>
            <w:r>
              <w:rPr>
                <w:rFonts w:hint="eastAsia" w:ascii="华文楷体" w:hAnsi="华文楷体" w:eastAsia="华文楷体" w:cs="华文楷体"/>
                <w:color w:val="auto"/>
                <w:sz w:val="21"/>
                <w:szCs w:val="21"/>
                <w:lang w:eastAsia="zh-CN"/>
              </w:rPr>
              <w:t>2022</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12</w:t>
            </w:r>
            <w:r>
              <w:rPr>
                <w:rFonts w:hint="eastAsia" w:ascii="华文楷体" w:hAnsi="华文楷体" w:eastAsia="华文楷体" w:cs="华文楷体"/>
                <w:color w:val="auto"/>
                <w:sz w:val="21"/>
                <w:szCs w:val="21"/>
              </w:rPr>
              <w:t>月对</w:t>
            </w:r>
            <w:r>
              <w:rPr>
                <w:rFonts w:hint="eastAsia" w:ascii="华文楷体" w:hAnsi="华文楷体" w:eastAsia="华文楷体" w:cs="华文楷体"/>
                <w:bCs/>
                <w:color w:val="auto"/>
                <w:sz w:val="21"/>
                <w:szCs w:val="21"/>
                <w:lang w:eastAsia="zh-CN"/>
              </w:rPr>
              <w:t>浙江水上特材有限公司、</w:t>
            </w:r>
            <w:r>
              <w:rPr>
                <w:rFonts w:hint="eastAsia" w:ascii="华文楷体" w:hAnsi="华文楷体" w:eastAsia="华文楷体" w:cs="华文楷体"/>
                <w:bCs/>
                <w:color w:val="auto"/>
                <w:sz w:val="21"/>
                <w:szCs w:val="21"/>
                <w:lang w:val="en-US" w:eastAsia="zh-CN"/>
              </w:rPr>
              <w:t>遂昌凯顺置业有限公司、</w:t>
            </w:r>
            <w:r>
              <w:rPr>
                <w:rFonts w:hint="eastAsia" w:ascii="华文楷体" w:hAnsi="华文楷体" w:eastAsia="华文楷体" w:cs="华文楷体"/>
                <w:b w:val="0"/>
                <w:bCs/>
                <w:color w:val="auto"/>
                <w:sz w:val="21"/>
                <w:szCs w:val="21"/>
                <w:lang w:eastAsia="zh-CN"/>
              </w:rPr>
              <w:t>遂昌县</w:t>
            </w:r>
            <w:r>
              <w:rPr>
                <w:rFonts w:hint="eastAsia" w:ascii="华文楷体" w:hAnsi="华文楷体" w:eastAsia="华文楷体" w:cs="华文楷体"/>
                <w:b w:val="0"/>
                <w:bCs/>
                <w:color w:val="auto"/>
                <w:sz w:val="21"/>
                <w:szCs w:val="21"/>
                <w:lang w:val="en-US" w:eastAsia="zh-CN"/>
              </w:rPr>
              <w:t>水利水电实业有限公司、</w:t>
            </w:r>
            <w:r>
              <w:rPr>
                <w:rFonts w:hint="eastAsia" w:ascii="华文楷体" w:hAnsi="华文楷体" w:eastAsia="华文楷体" w:cs="华文楷体"/>
                <w:bCs/>
                <w:color w:val="auto"/>
                <w:sz w:val="21"/>
                <w:szCs w:val="21"/>
              </w:rPr>
              <w:t>遂昌县新路湾镇人民政府</w:t>
            </w:r>
            <w:r>
              <w:rPr>
                <w:rFonts w:hint="eastAsia" w:ascii="华文楷体" w:hAnsi="华文楷体" w:eastAsia="华文楷体" w:cs="华文楷体"/>
                <w:color w:val="auto"/>
                <w:sz w:val="21"/>
                <w:szCs w:val="21"/>
                <w:u w:val="none"/>
                <w:lang w:val="en-US" w:eastAsia="zh-CN"/>
              </w:rPr>
              <w:t>等</w:t>
            </w:r>
            <w:r>
              <w:rPr>
                <w:rFonts w:hint="eastAsia" w:ascii="华文楷体" w:hAnsi="华文楷体" w:eastAsia="华文楷体" w:cs="华文楷体"/>
                <w:color w:val="auto"/>
                <w:sz w:val="21"/>
                <w:szCs w:val="21"/>
              </w:rPr>
              <w:t>顾客，调查内容有：产品质量、价格水平、交货期、服务等，查《顾客满意程度调查表》，客户评价均是非常满意或满意评价。提供《客户满意度分析报告》。顾客满意率达到</w:t>
            </w:r>
            <w:r>
              <w:rPr>
                <w:rFonts w:hint="eastAsia" w:ascii="华文楷体" w:hAnsi="华文楷体" w:eastAsia="华文楷体" w:cs="华文楷体"/>
                <w:color w:val="auto"/>
                <w:sz w:val="21"/>
                <w:szCs w:val="21"/>
                <w:lang w:val="en-US" w:eastAsia="zh-CN"/>
              </w:rPr>
              <w:t>97分</w:t>
            </w:r>
            <w:r>
              <w:rPr>
                <w:rFonts w:hint="eastAsia" w:ascii="华文楷体" w:hAnsi="华文楷体" w:eastAsia="华文楷体" w:cs="华文楷体"/>
                <w:color w:val="auto"/>
                <w:sz w:val="21"/>
                <w:szCs w:val="21"/>
              </w:rPr>
              <w:t xml:space="preserve">，达到了质量目标的要求。调查未发现有顾客投诉或抱怨的情况发生。  </w:t>
            </w:r>
          </w:p>
        </w:tc>
        <w:tc>
          <w:tcPr>
            <w:tcW w:w="780" w:type="dxa"/>
          </w:tcPr>
          <w:p>
            <w:pPr>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01" w:type="dxa"/>
            <w:vAlign w:val="center"/>
          </w:tcPr>
          <w:p>
            <w:pPr>
              <w:spacing w:line="360" w:lineRule="auto"/>
              <w:rPr>
                <w:rFonts w:hint="eastAsia" w:ascii="华文楷体" w:hAnsi="华文楷体" w:eastAsia="华文楷体" w:cs="华文楷体"/>
                <w:sz w:val="21"/>
                <w:szCs w:val="21"/>
              </w:rPr>
            </w:pPr>
            <w:r>
              <w:rPr>
                <w:rFonts w:hint="eastAsia" w:ascii="华文楷体" w:hAnsi="华文楷体" w:eastAsia="华文楷体" w:cs="华文楷体"/>
                <w:sz w:val="21"/>
                <w:szCs w:val="21"/>
              </w:rPr>
              <w:t>运行策划和控制</w:t>
            </w:r>
          </w:p>
          <w:p>
            <w:pPr>
              <w:spacing w:line="320" w:lineRule="exact"/>
              <w:rPr>
                <w:rFonts w:hint="eastAsia" w:ascii="华文楷体" w:hAnsi="华文楷体" w:eastAsia="华文楷体" w:cs="华文楷体"/>
                <w:sz w:val="21"/>
                <w:szCs w:val="21"/>
              </w:rPr>
            </w:pPr>
          </w:p>
        </w:tc>
        <w:tc>
          <w:tcPr>
            <w:tcW w:w="992" w:type="dxa"/>
            <w:vAlign w:val="center"/>
          </w:tcPr>
          <w:p>
            <w:pPr>
              <w:spacing w:line="320" w:lineRule="exact"/>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EO8.1</w:t>
            </w:r>
          </w:p>
        </w:tc>
        <w:tc>
          <w:tcPr>
            <w:tcW w:w="11836" w:type="dxa"/>
            <w:vAlign w:val="center"/>
          </w:tcPr>
          <w:p>
            <w:pPr>
              <w:spacing w:line="320" w:lineRule="exact"/>
              <w:ind w:firstLine="405"/>
              <w:rPr>
                <w:rFonts w:hint="eastAsia" w:ascii="华文楷体" w:hAnsi="华文楷体" w:eastAsia="华文楷体" w:cs="华文楷体"/>
                <w:sz w:val="21"/>
                <w:szCs w:val="21"/>
              </w:rPr>
            </w:pPr>
            <w:r>
              <w:rPr>
                <w:rFonts w:hint="eastAsia" w:ascii="华文楷体" w:hAnsi="华文楷体" w:eastAsia="华文楷体" w:cs="华文楷体"/>
                <w:sz w:val="21"/>
                <w:szCs w:val="21"/>
              </w:rPr>
              <w:t>公司制定了 《施工和服务控制程序》，规定相关控制管理的职责和分工，确定管理要求和应形成的记录，</w:t>
            </w:r>
            <w:r>
              <w:rPr>
                <w:rFonts w:hint="eastAsia" w:ascii="华文楷体" w:hAnsi="华文楷体" w:eastAsia="华文楷体" w:cs="华文楷体"/>
                <w:sz w:val="21"/>
                <w:szCs w:val="21"/>
                <w:lang w:val="en-US" w:eastAsia="zh-CN"/>
              </w:rPr>
              <w:t>符合</w:t>
            </w:r>
            <w:r>
              <w:rPr>
                <w:rFonts w:hint="eastAsia" w:ascii="华文楷体" w:hAnsi="华文楷体" w:eastAsia="华文楷体" w:cs="华文楷体"/>
                <w:sz w:val="21"/>
                <w:szCs w:val="21"/>
              </w:rPr>
              <w:t>标准要求。</w:t>
            </w:r>
          </w:p>
          <w:p>
            <w:pPr>
              <w:spacing w:line="32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查到：《施工安全管理制度》、《施工质量问题处理制度》、《扬尘控制管理制度》、《基础设施控制管理制度》、《环境运行控制管理制度》、《固体废弃物管理控制程序》《安全生产管理制度》、《安全防火管理制度》、《安全用电管理制度》、《劳动保护用品管理制度》等运行控制管理规定和程序，具体明确了工程施工过程运行控制的相关要求，制定了控制措施，具有较好的可操作性，基本适宜。</w:t>
            </w:r>
            <w:r>
              <w:rPr>
                <w:rFonts w:hint="eastAsia" w:ascii="华文楷体" w:hAnsi="华文楷体" w:eastAsia="华文楷体" w:cs="华文楷体"/>
                <w:sz w:val="21"/>
                <w:szCs w:val="21"/>
                <w:lang w:eastAsia="zh-CN"/>
              </w:rPr>
              <w:t>业务部</w:t>
            </w:r>
            <w:r>
              <w:rPr>
                <w:rFonts w:hint="eastAsia" w:ascii="华文楷体" w:hAnsi="华文楷体" w:eastAsia="华文楷体" w:cs="华文楷体"/>
                <w:sz w:val="21"/>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2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lang w:val="en-US" w:eastAsia="zh-CN"/>
              </w:rPr>
              <w:t>戴梓芽经理</w:t>
            </w:r>
            <w:r>
              <w:rPr>
                <w:rFonts w:hint="eastAsia" w:ascii="华文楷体" w:hAnsi="华文楷体" w:eastAsia="华文楷体" w:cs="华文楷体"/>
                <w:sz w:val="21"/>
                <w:szCs w:val="21"/>
              </w:rPr>
              <w:t>介绍，公司对电工、焊工等特种作业人员实施体检合格后上岗的管理办法；为员工缴纳五险一金等。为进入施工现场的作业施工人员及管理人员办理了意外伤害团体险。</w:t>
            </w:r>
          </w:p>
          <w:p>
            <w:pPr>
              <w:spacing w:line="32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公司对于相关方的控制，以发放公开信、对相关方施加影响协议书等方式，向其施加职业健康安全影响。查到：《相关方告知书》，要求各相关方遵守国家和行业有关环境和职业健康安全方面的法律法规。</w:t>
            </w:r>
          </w:p>
          <w:p>
            <w:pPr>
              <w:spacing w:line="32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 xml:space="preserve">    查到：《</w:t>
            </w:r>
            <w:r>
              <w:rPr>
                <w:rFonts w:hint="eastAsia" w:ascii="华文楷体" w:hAnsi="华文楷体" w:eastAsia="华文楷体" w:cs="华文楷体"/>
                <w:sz w:val="21"/>
                <w:szCs w:val="21"/>
                <w:lang w:val="en-US" w:eastAsia="zh-CN"/>
              </w:rPr>
              <w:t>办公</w:t>
            </w:r>
            <w:r>
              <w:rPr>
                <w:rFonts w:hint="eastAsia" w:ascii="华文楷体" w:hAnsi="华文楷体" w:eastAsia="华文楷体" w:cs="华文楷体"/>
                <w:sz w:val="21"/>
                <w:szCs w:val="21"/>
              </w:rPr>
              <w:t>环境安全检查记录》（</w:t>
            </w:r>
            <w:r>
              <w:rPr>
                <w:rFonts w:hint="eastAsia" w:ascii="华文楷体" w:hAnsi="华文楷体" w:eastAsia="华文楷体" w:cs="华文楷体"/>
                <w:sz w:val="21"/>
                <w:szCs w:val="21"/>
                <w:lang w:eastAsia="zh-CN"/>
              </w:rPr>
              <w:t>2022</w:t>
            </w:r>
            <w:r>
              <w:rPr>
                <w:rFonts w:hint="eastAsia" w:ascii="华文楷体" w:hAnsi="华文楷体" w:eastAsia="华文楷体" w:cs="华文楷体"/>
                <w:sz w:val="21"/>
                <w:szCs w:val="21"/>
              </w:rPr>
              <w:t>年</w:t>
            </w:r>
            <w:r>
              <w:rPr>
                <w:rFonts w:hint="eastAsia" w:ascii="华文楷体" w:hAnsi="华文楷体" w:eastAsia="华文楷体" w:cs="华文楷体"/>
                <w:sz w:val="21"/>
                <w:szCs w:val="21"/>
                <w:lang w:val="en-US" w:eastAsia="zh-CN"/>
              </w:rPr>
              <w:t>10</w:t>
            </w: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val="en-US" w:eastAsia="zh-CN"/>
              </w:rPr>
              <w:t>2022年12</w:t>
            </w:r>
            <w:r>
              <w:rPr>
                <w:rFonts w:hint="eastAsia" w:ascii="华文楷体" w:hAnsi="华文楷体" w:eastAsia="华文楷体" w:cs="华文楷体"/>
                <w:sz w:val="21"/>
                <w:szCs w:val="21"/>
              </w:rPr>
              <w:t>月），已按策划实施了监视和测量，其中记录了检查内容：固体废弃物管理、灭火器管理、目标指标管理、发现问题、处理情况。检查人：</w:t>
            </w:r>
            <w:r>
              <w:rPr>
                <w:rFonts w:hint="eastAsia" w:ascii="华文楷体" w:hAnsi="华文楷体" w:eastAsia="华文楷体" w:cs="华文楷体"/>
                <w:sz w:val="21"/>
                <w:szCs w:val="21"/>
                <w:lang w:val="en-US" w:eastAsia="zh-CN"/>
              </w:rPr>
              <w:t>华之争，</w:t>
            </w:r>
            <w:r>
              <w:rPr>
                <w:rFonts w:hint="eastAsia" w:ascii="华文楷体" w:hAnsi="华文楷体" w:eastAsia="华文楷体" w:cs="华文楷体"/>
                <w:sz w:val="21"/>
                <w:szCs w:val="21"/>
              </w:rPr>
              <w:t>基本</w:t>
            </w:r>
            <w:r>
              <w:rPr>
                <w:rFonts w:hint="eastAsia" w:ascii="华文楷体" w:hAnsi="华文楷体" w:eastAsia="华文楷体" w:cs="华文楷体"/>
                <w:sz w:val="21"/>
                <w:szCs w:val="21"/>
                <w:lang w:val="en-US" w:eastAsia="zh-CN"/>
              </w:rPr>
              <w:t>符合</w:t>
            </w:r>
            <w:r>
              <w:rPr>
                <w:rFonts w:hint="eastAsia" w:ascii="华文楷体" w:hAnsi="华文楷体" w:eastAsia="华文楷体" w:cs="华文楷体"/>
                <w:sz w:val="21"/>
                <w:szCs w:val="21"/>
              </w:rPr>
              <w:t>。</w:t>
            </w:r>
          </w:p>
          <w:p>
            <w:pPr>
              <w:spacing w:line="32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 xml:space="preserve"> 经观察，公司</w:t>
            </w:r>
            <w:r>
              <w:rPr>
                <w:rFonts w:hint="eastAsia" w:ascii="华文楷体" w:hAnsi="华文楷体" w:eastAsia="华文楷体" w:cs="华文楷体"/>
                <w:sz w:val="21"/>
                <w:szCs w:val="21"/>
                <w:lang w:val="en-US" w:eastAsia="zh-CN"/>
              </w:rPr>
              <w:t>经营管理部</w:t>
            </w:r>
            <w:r>
              <w:rPr>
                <w:rFonts w:hint="eastAsia" w:ascii="华文楷体" w:hAnsi="华文楷体" w:eastAsia="华文楷体" w:cs="华文楷体"/>
                <w:sz w:val="21"/>
                <w:szCs w:val="21"/>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w:t>
            </w:r>
            <w:r>
              <w:rPr>
                <w:rFonts w:hint="eastAsia" w:ascii="华文楷体" w:hAnsi="华文楷体" w:eastAsia="华文楷体" w:cs="华文楷体"/>
                <w:sz w:val="21"/>
                <w:szCs w:val="21"/>
                <w:lang w:eastAsia="zh-CN"/>
              </w:rPr>
              <w:t>2022</w:t>
            </w:r>
            <w:r>
              <w:rPr>
                <w:rFonts w:hint="eastAsia" w:ascii="华文楷体" w:hAnsi="华文楷体" w:eastAsia="华文楷体" w:cs="华文楷体"/>
                <w:sz w:val="21"/>
                <w:szCs w:val="21"/>
              </w:rPr>
              <w:t>年在质量、环境、职业健康安全方面、为员工缴纳五险、体检</w:t>
            </w:r>
            <w:r>
              <w:rPr>
                <w:rFonts w:hint="eastAsia" w:ascii="华文楷体" w:hAnsi="华文楷体" w:eastAsia="华文楷体" w:cs="华文楷体"/>
                <w:sz w:val="21"/>
                <w:szCs w:val="21"/>
                <w:lang w:eastAsia="zh-CN"/>
              </w:rPr>
              <w:t>、</w:t>
            </w:r>
            <w:r>
              <w:rPr>
                <w:rFonts w:hint="eastAsia" w:ascii="华文楷体" w:hAnsi="华文楷体" w:eastAsia="华文楷体" w:cs="华文楷体"/>
                <w:sz w:val="21"/>
                <w:szCs w:val="21"/>
                <w:lang w:val="en-US" w:eastAsia="zh-CN"/>
              </w:rPr>
              <w:t>劳保用品</w:t>
            </w:r>
            <w:r>
              <w:rPr>
                <w:rFonts w:hint="eastAsia" w:ascii="华文楷体" w:hAnsi="华文楷体" w:eastAsia="华文楷体" w:cs="华文楷体"/>
                <w:sz w:val="21"/>
                <w:szCs w:val="21"/>
              </w:rPr>
              <w:t>等方面投</w:t>
            </w:r>
            <w:r>
              <w:rPr>
                <w:rFonts w:hint="eastAsia" w:ascii="华文楷体" w:hAnsi="华文楷体" w:eastAsia="华文楷体" w:cs="华文楷体"/>
                <w:sz w:val="21"/>
                <w:szCs w:val="21"/>
                <w:lang w:val="en-US" w:eastAsia="zh-CN"/>
              </w:rPr>
              <w:t>入约142</w:t>
            </w:r>
            <w:r>
              <w:rPr>
                <w:rFonts w:hint="eastAsia" w:ascii="华文楷体" w:hAnsi="华文楷体" w:eastAsia="华文楷体" w:cs="华文楷体"/>
                <w:sz w:val="21"/>
                <w:szCs w:val="21"/>
              </w:rPr>
              <w:t>万余元，为进入施工现场的管理人员和所有的施工人员公司办理了意外伤害保险团体险，基本</w:t>
            </w:r>
            <w:r>
              <w:rPr>
                <w:rFonts w:hint="eastAsia" w:ascii="华文楷体" w:hAnsi="华文楷体" w:eastAsia="华文楷体" w:cs="华文楷体"/>
                <w:sz w:val="21"/>
                <w:szCs w:val="21"/>
                <w:lang w:val="en-US" w:eastAsia="zh-CN"/>
              </w:rPr>
              <w:t>符合</w:t>
            </w:r>
            <w:r>
              <w:rPr>
                <w:rFonts w:hint="eastAsia" w:ascii="华文楷体" w:hAnsi="华文楷体" w:eastAsia="华文楷体" w:cs="华文楷体"/>
                <w:sz w:val="21"/>
                <w:szCs w:val="21"/>
              </w:rPr>
              <w:t>。</w:t>
            </w:r>
          </w:p>
        </w:tc>
        <w:tc>
          <w:tcPr>
            <w:tcW w:w="780" w:type="dxa"/>
          </w:tcPr>
          <w:p>
            <w:pP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01" w:type="dxa"/>
          </w:tcPr>
          <w:p>
            <w:pPr>
              <w:spacing w:line="280" w:lineRule="exact"/>
              <w:rPr>
                <w:rFonts w:hint="eastAsia" w:ascii="华文楷体" w:hAnsi="华文楷体" w:eastAsia="华文楷体" w:cs="华文楷体"/>
                <w:bCs/>
                <w:sz w:val="21"/>
                <w:szCs w:val="21"/>
              </w:rPr>
            </w:pPr>
            <w:r>
              <w:rPr>
                <w:rFonts w:hint="eastAsia" w:ascii="华文楷体" w:hAnsi="华文楷体" w:eastAsia="华文楷体" w:cs="华文楷体"/>
                <w:bCs/>
                <w:sz w:val="21"/>
                <w:szCs w:val="21"/>
              </w:rPr>
              <w:t>应急准备和响应</w:t>
            </w:r>
          </w:p>
        </w:tc>
        <w:tc>
          <w:tcPr>
            <w:tcW w:w="992" w:type="dxa"/>
          </w:tcPr>
          <w:p>
            <w:pPr>
              <w:spacing w:line="280" w:lineRule="exact"/>
              <w:rPr>
                <w:rFonts w:hint="eastAsia" w:ascii="华文楷体" w:hAnsi="华文楷体" w:eastAsia="华文楷体" w:cs="华文楷体"/>
                <w:bCs/>
                <w:sz w:val="21"/>
                <w:szCs w:val="21"/>
              </w:rPr>
            </w:pPr>
            <w:r>
              <w:rPr>
                <w:rFonts w:hint="eastAsia" w:ascii="华文楷体" w:hAnsi="华文楷体" w:eastAsia="华文楷体" w:cs="华文楷体"/>
                <w:bCs/>
                <w:sz w:val="21"/>
                <w:szCs w:val="21"/>
              </w:rPr>
              <w:t>EO8.2</w:t>
            </w:r>
          </w:p>
          <w:p>
            <w:pPr>
              <w:spacing w:line="280" w:lineRule="exact"/>
              <w:rPr>
                <w:rFonts w:hint="eastAsia" w:ascii="华文楷体" w:hAnsi="华文楷体" w:eastAsia="华文楷体" w:cs="华文楷体"/>
                <w:bCs/>
                <w:sz w:val="21"/>
                <w:szCs w:val="21"/>
              </w:rPr>
            </w:pPr>
          </w:p>
        </w:tc>
        <w:tc>
          <w:tcPr>
            <w:tcW w:w="11836" w:type="dxa"/>
          </w:tcPr>
          <w:p>
            <w:pPr>
              <w:spacing w:line="32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制定实施了《应急准备与响应控制程序》，制定了火灾、触电、</w:t>
            </w:r>
            <w:r>
              <w:rPr>
                <w:rFonts w:hint="eastAsia" w:ascii="华文楷体" w:hAnsi="华文楷体" w:eastAsia="华文楷体" w:cs="华文楷体"/>
                <w:sz w:val="21"/>
                <w:szCs w:val="21"/>
                <w:lang w:val="en-US" w:eastAsia="zh-CN"/>
              </w:rPr>
              <w:t>倒塌</w:t>
            </w:r>
            <w:r>
              <w:rPr>
                <w:rFonts w:hint="eastAsia" w:ascii="华文楷体" w:hAnsi="华文楷体" w:eastAsia="华文楷体" w:cs="华文楷体"/>
                <w:sz w:val="21"/>
                <w:szCs w:val="21"/>
              </w:rPr>
              <w:t>等应急预案</w:t>
            </w:r>
          </w:p>
          <w:p>
            <w:pPr>
              <w:spacing w:line="320" w:lineRule="exact"/>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经营管理部戴梓芽经理</w:t>
            </w:r>
            <w:r>
              <w:rPr>
                <w:rFonts w:hint="eastAsia" w:ascii="华文楷体" w:hAnsi="华文楷体" w:eastAsia="华文楷体" w:cs="华文楷体"/>
                <w:sz w:val="21"/>
                <w:szCs w:val="21"/>
              </w:rPr>
              <w:t>等人员参加了由</w:t>
            </w:r>
            <w:r>
              <w:rPr>
                <w:rFonts w:hint="eastAsia" w:ascii="华文楷体" w:hAnsi="华文楷体" w:eastAsia="华文楷体" w:cs="华文楷体"/>
                <w:sz w:val="21"/>
                <w:szCs w:val="21"/>
                <w:lang w:val="en-US" w:eastAsia="zh-CN"/>
              </w:rPr>
              <w:t>办公室</w:t>
            </w:r>
            <w:r>
              <w:rPr>
                <w:rFonts w:hint="eastAsia" w:ascii="华文楷体" w:hAnsi="华文楷体" w:eastAsia="华文楷体" w:cs="华文楷体"/>
                <w:sz w:val="21"/>
                <w:szCs w:val="21"/>
              </w:rPr>
              <w:t>组织的</w:t>
            </w:r>
            <w:r>
              <w:rPr>
                <w:rFonts w:hint="eastAsia" w:ascii="华文楷体" w:hAnsi="华文楷体" w:eastAsia="华文楷体" w:cs="华文楷体"/>
                <w:sz w:val="21"/>
                <w:szCs w:val="21"/>
                <w:lang w:val="en-US" w:eastAsia="zh-CN"/>
              </w:rPr>
              <w:t>消防和医疗应急</w:t>
            </w:r>
            <w:r>
              <w:rPr>
                <w:rFonts w:hint="eastAsia" w:ascii="华文楷体" w:hAnsi="华文楷体" w:eastAsia="华文楷体" w:cs="华文楷体"/>
                <w:sz w:val="21"/>
                <w:szCs w:val="21"/>
              </w:rPr>
              <w:t>演练。</w:t>
            </w:r>
            <w:r>
              <w:rPr>
                <w:rFonts w:hint="eastAsia" w:ascii="华文楷体" w:hAnsi="华文楷体" w:eastAsia="华文楷体" w:cs="华文楷体"/>
                <w:sz w:val="21"/>
                <w:szCs w:val="21"/>
                <w:lang w:val="en-US" w:eastAsia="zh-CN"/>
              </w:rPr>
              <w:t>具体详见办公室的相关EO8.2的审核记录</w:t>
            </w:r>
          </w:p>
          <w:p>
            <w:pPr>
              <w:rPr>
                <w:rFonts w:hint="eastAsia" w:ascii="华文楷体" w:hAnsi="华文楷体" w:eastAsia="华文楷体" w:cs="华文楷体"/>
                <w:sz w:val="21"/>
                <w:szCs w:val="21"/>
              </w:rPr>
            </w:pPr>
          </w:p>
        </w:tc>
        <w:tc>
          <w:tcPr>
            <w:tcW w:w="780" w:type="dxa"/>
          </w:tcPr>
          <w:p>
            <w:pPr>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Y</w:t>
            </w:r>
          </w:p>
        </w:tc>
      </w:tr>
    </w:tbl>
    <w:p>
      <w:r>
        <w:ptab w:relativeTo="margin" w:alignment="center" w:leader="none"/>
      </w:r>
    </w:p>
    <w:p>
      <w:pPr>
        <w:pStyle w:val="3"/>
      </w:pPr>
      <w:r>
        <w:rPr>
          <w:rFonts w:hint="eastAsia"/>
        </w:rPr>
        <w:t>说明：不</w:t>
      </w:r>
      <w:r>
        <w:rPr>
          <w:rFonts w:hint="eastAsia"/>
          <w:lang w:eastAsia="zh-CN"/>
        </w:rPr>
        <w:t>Y</w:t>
      </w:r>
      <w:r>
        <w:rPr>
          <w:rFonts w:hint="eastAsia"/>
        </w:rPr>
        <w:t>标注N</w:t>
      </w:r>
    </w:p>
    <w:p>
      <w:pPr>
        <w:pStyle w:val="3"/>
      </w:pPr>
    </w:p>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4"/>
      <w:pBdr>
        <w:bottom w:val="none" w:color="auto" w:sz="0" w:space="0"/>
      </w:pBdr>
      <w:spacing w:line="320" w:lineRule="exact"/>
      <w:ind w:firstLine="756" w:firstLineChars="400"/>
      <w:jc w:val="left"/>
    </w:pPr>
    <w:r>
      <w:rPr>
        <w:rStyle w:val="19"/>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827D9"/>
    <w:multiLevelType w:val="multilevel"/>
    <w:tmpl w:val="C25827D9"/>
    <w:lvl w:ilvl="0" w:tentative="0">
      <w:start w:val="1"/>
      <w:numFmt w:val="decimal"/>
      <w:pStyle w:val="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71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pStyle w:val="1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13965BA"/>
    <w:multiLevelType w:val="singleLevel"/>
    <w:tmpl w:val="513965BA"/>
    <w:lvl w:ilvl="0" w:tentative="0">
      <w:start w:val="1"/>
      <w:numFmt w:val="lowerLetter"/>
      <w:suff w:val="space"/>
      <w:lvlText w:val="%1)"/>
      <w:lvlJc w:val="left"/>
    </w:lvl>
  </w:abstractNum>
  <w:abstractNum w:abstractNumId="2">
    <w:nsid w:val="742FFDE4"/>
    <w:multiLevelType w:val="multilevel"/>
    <w:tmpl w:val="742FFDE4"/>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DU2ZjRmZWE5MTlkODUwOTg4ZWRhNWUwYjBhMTMifQ=="/>
  </w:docVars>
  <w:rsids>
    <w:rsidRoot w:val="36856E29"/>
    <w:rsid w:val="2A006F73"/>
    <w:rsid w:val="2D6F4824"/>
    <w:rsid w:val="36856E29"/>
    <w:rsid w:val="370A7CF6"/>
    <w:rsid w:val="3DF50BA1"/>
    <w:rsid w:val="3EF86351"/>
    <w:rsid w:val="3FAA5D63"/>
    <w:rsid w:val="55AA3867"/>
    <w:rsid w:val="57143874"/>
    <w:rsid w:val="5B977AE5"/>
    <w:rsid w:val="5BAD6689"/>
    <w:rsid w:val="5E311C18"/>
    <w:rsid w:val="69DD336F"/>
    <w:rsid w:val="6EA65B4D"/>
    <w:rsid w:val="6FC52B9C"/>
    <w:rsid w:val="7329242B"/>
    <w:rsid w:val="7C05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eastAsia="PMingLiU"/>
      <w:b/>
      <w:bCs/>
      <w:sz w:val="24"/>
      <w:lang w:eastAsia="zh-TW"/>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章标题"/>
    <w:qFormat/>
    <w:uiPriority w:val="0"/>
    <w:pPr>
      <w:numPr>
        <w:ilvl w:val="0"/>
        <w:numId w:val="1"/>
      </w:numPr>
      <w:spacing w:before="100" w:beforeLines="100" w:after="100" w:afterLines="100"/>
      <w:jc w:val="both"/>
      <w:outlineLvl w:val="1"/>
    </w:pPr>
    <w:rPr>
      <w:rFonts w:ascii="黑体" w:hAnsi="黑体" w:eastAsia="黑体" w:cs="Times New Roman"/>
      <w:sz w:val="21"/>
      <w:lang w:val="en-US" w:eastAsia="zh-CN" w:bidi="ar-SA"/>
    </w:rPr>
  </w:style>
  <w:style w:type="paragraph" w:customStyle="1" w:styleId="9">
    <w:name w:val="一级条标题"/>
    <w:basedOn w:val="1"/>
    <w:qFormat/>
    <w:uiPriority w:val="0"/>
    <w:pPr>
      <w:numPr>
        <w:ilvl w:val="1"/>
        <w:numId w:val="1"/>
      </w:numPr>
      <w:ind w:left="284"/>
    </w:pPr>
  </w:style>
  <w:style w:type="paragraph" w:customStyle="1" w:styleId="10">
    <w:name w:val="二级条标题"/>
    <w:basedOn w:val="9"/>
    <w:link w:val="14"/>
    <w:qFormat/>
    <w:uiPriority w:val="0"/>
    <w:pPr>
      <w:numPr>
        <w:ilvl w:val="2"/>
      </w:numPr>
      <w:spacing w:before="50" w:after="50"/>
      <w:outlineLvl w:val="3"/>
    </w:pPr>
    <w:rPr>
      <w:rFonts w:ascii="黑体" w:hAnsi="黑体" w:eastAsia="黑体"/>
      <w:szCs w:val="21"/>
    </w:rPr>
  </w:style>
  <w:style w:type="paragraph" w:customStyle="1" w:styleId="11">
    <w:name w:val="三级条标题"/>
    <w:basedOn w:val="1"/>
    <w:qFormat/>
    <w:uiPriority w:val="0"/>
    <w:pPr>
      <w:numPr>
        <w:ilvl w:val="3"/>
        <w:numId w:val="1"/>
      </w:numPr>
    </w:pPr>
  </w:style>
  <w:style w:type="paragraph" w:customStyle="1" w:styleId="12">
    <w:name w:val="四级无"/>
    <w:basedOn w:val="1"/>
    <w:qFormat/>
    <w:uiPriority w:val="0"/>
    <w:pPr>
      <w:numPr>
        <w:ilvl w:val="4"/>
        <w:numId w:val="2"/>
      </w:numPr>
    </w:pPr>
  </w:style>
  <w:style w:type="paragraph" w:customStyle="1" w:styleId="13">
    <w:name w:val="五级无"/>
    <w:basedOn w:val="1"/>
    <w:qFormat/>
    <w:uiPriority w:val="0"/>
    <w:pPr>
      <w:numPr>
        <w:ilvl w:val="5"/>
        <w:numId w:val="2"/>
      </w:numPr>
    </w:pPr>
  </w:style>
  <w:style w:type="character" w:customStyle="1" w:styleId="14">
    <w:name w:val="二级条标题 Char"/>
    <w:link w:val="10"/>
    <w:qFormat/>
    <w:locked/>
    <w:uiPriority w:val="0"/>
    <w:rPr>
      <w:rFonts w:ascii="黑体" w:hAnsi="黑体" w:eastAsia="黑体"/>
      <w:sz w:val="21"/>
      <w:szCs w:val="21"/>
    </w:rPr>
  </w:style>
  <w:style w:type="paragraph" w:customStyle="1" w:styleId="15">
    <w:name w:val="四级条标题"/>
    <w:basedOn w:val="1"/>
    <w:qFormat/>
    <w:uiPriority w:val="0"/>
    <w:pPr>
      <w:numPr>
        <w:ilvl w:val="4"/>
        <w:numId w:val="1"/>
      </w:numPr>
    </w:pPr>
  </w:style>
  <w:style w:type="paragraph" w:customStyle="1" w:styleId="16">
    <w:name w:val="五级条标题"/>
    <w:basedOn w:val="1"/>
    <w:qFormat/>
    <w:uiPriority w:val="0"/>
    <w:pPr>
      <w:numPr>
        <w:ilvl w:val="5"/>
        <w:numId w:val="1"/>
      </w:numPr>
    </w:pPr>
  </w:style>
  <w:style w:type="paragraph" w:customStyle="1" w:styleId="17">
    <w:name w:val="表格文字"/>
    <w:basedOn w:val="1"/>
    <w:qFormat/>
    <w:uiPriority w:val="0"/>
    <w:pPr>
      <w:spacing w:before="25" w:after="25"/>
    </w:pPr>
    <w:rPr>
      <w:rFonts w:ascii="Calibri" w:hAnsi="Calibri"/>
      <w:bCs/>
      <w:spacing w:val="10"/>
      <w:sz w:val="24"/>
    </w:rPr>
  </w:style>
  <w:style w:type="paragraph" w:customStyle="1" w:styleId="18">
    <w:name w:val="Table Paragraph"/>
    <w:basedOn w:val="1"/>
    <w:qFormat/>
    <w:uiPriority w:val="1"/>
    <w:rPr>
      <w:rFonts w:ascii="宋体" w:hAnsi="宋体" w:eastAsia="宋体" w:cs="宋体"/>
      <w:lang w:val="zh-CN" w:eastAsia="zh-CN" w:bidi="zh-CN"/>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3623</Words>
  <Characters>3879</Characters>
  <Lines>0</Lines>
  <Paragraphs>0</Paragraphs>
  <TotalTime>16</TotalTime>
  <ScaleCrop>false</ScaleCrop>
  <LinksUpToDate>false</LinksUpToDate>
  <CharactersWithSpaces>4051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2022-03-09T06:12:00Z</dcterms:created>
  <dc:creator>森林</dc:creator>
  <cp:lastModifiedBy>李凤仪</cp:lastModifiedBy>
  <dcterms:modified xsi:type="dcterms:W3CDTF">2023-03-17T11:19:26Z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0A2499DFA503475E93DB541D6E96FD3F</vt:lpwstr>
  </property>
</Properties>
</file>