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3562CB">
              <w:rPr>
                <w:szCs w:val="21"/>
              </w:rPr>
              <w:t>山东百业顺教学器材有限公司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proofErr w:type="gramStart"/>
            <w:r w:rsidR="003562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杜守青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B13791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B13791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B13791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B13791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B13791">
              <w:rPr>
                <w:rFonts w:asciiTheme="minorEastAsia" w:eastAsiaTheme="minorEastAsia" w:hAnsiTheme="minorEastAsia" w:hint="eastAsia"/>
                <w:color w:val="000000"/>
              </w:rPr>
              <w:t xml:space="preserve">上午 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B13791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B13791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B13791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B1379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91371702MA3CBAF499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2016年</w:t>
            </w:r>
            <w:r w:rsidR="00B1379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月2</w:t>
            </w:r>
            <w:r w:rsidR="00B1379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B13791" w:rsidRPr="00B1379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室内健身器材及设备、室外健身路径器材、音体美器材、</w:t>
            </w:r>
            <w:proofErr w:type="gramStart"/>
            <w:r w:rsidR="00B13791" w:rsidRPr="00B1379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劳</w:t>
            </w:r>
            <w:proofErr w:type="gramEnd"/>
            <w:r w:rsidR="00B13791" w:rsidRPr="00B1379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技器材、医疗康复器材、幼儿教具、教学设备、体质健康测试仪器、实验室设备、教学仪器、特教设备、厨房设备、电教设备、多媒体教学设备、电子显示屏、监控设备、校园录播设备、校园通用技术设备、办公用品、五金交电、家具、家电、校园桌椅、伸缩看台、环卫设备、活动舞台、拓展器材、文艺用品、交通设施、笼式足球的销售、安装及维修;塑胶草坪场地施工、维修;演出服、校服、图书销售。（依法须经批准的项目，经相关部门批准后方可开展经营活动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B13791">
              <w:rPr>
                <w:sz w:val="20"/>
              </w:rPr>
              <w:t>教学仪器、音体美器材、劳技器材、室内外健身器材、实验室设备、特教设备、幼儿教具、体质健康测试仪器、厨房设备、多媒体教学设备、电子显示屏、监控设备、校园录播设备、办公用品、文艺</w:t>
            </w:r>
            <w:r w:rsidR="00B13791">
              <w:rPr>
                <w:sz w:val="20"/>
              </w:rPr>
              <w:lastRenderedPageBreak/>
              <w:t>用品、办公家具、家电、课桌椅、演出服、校服的销售</w:t>
            </w:r>
            <w:r w:rsidR="00543340">
              <w:rPr>
                <w:sz w:val="20"/>
              </w:rPr>
              <w:t>及所涉及场所的相关环境</w:t>
            </w:r>
            <w:r w:rsidR="00543340">
              <w:rPr>
                <w:rFonts w:hint="eastAsia"/>
                <w:sz w:val="20"/>
              </w:rPr>
              <w:t>、</w:t>
            </w:r>
            <w:r w:rsidR="00543340">
              <w:rPr>
                <w:sz w:val="20"/>
              </w:rPr>
              <w:t>职业健康安全管理活动</w:t>
            </w:r>
            <w:bookmarkStart w:id="2" w:name="_GoBack"/>
            <w:bookmarkEnd w:id="2"/>
            <w:r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3" w:name="注册地址"/>
            <w:r w:rsidR="00B13791">
              <w:rPr>
                <w:rFonts w:asciiTheme="minorEastAsia" w:eastAsiaTheme="minorEastAsia" w:hAnsiTheme="minorEastAsia" w:hint="eastAsia"/>
                <w:sz w:val="20"/>
              </w:rPr>
              <w:t>山东省菏泽市牡丹区青年路万家新城B6-04004</w:t>
            </w:r>
            <w:bookmarkEnd w:id="3"/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8C250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B13791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山东省菏泽市牡丹区中华</w:t>
            </w:r>
            <w:proofErr w:type="gramStart"/>
            <w:r w:rsidR="00B13791">
              <w:rPr>
                <w:rFonts w:ascii="宋体" w:hAnsi="宋体" w:cs="宋体" w:hint="eastAsia"/>
                <w:color w:val="000000"/>
                <w:kern w:val="0"/>
                <w:szCs w:val="21"/>
              </w:rPr>
              <w:t>路恒翼大厦</w:t>
            </w:r>
            <w:proofErr w:type="gramEnd"/>
            <w:r w:rsidR="00B13791">
              <w:rPr>
                <w:rFonts w:ascii="宋体" w:hAnsi="宋体" w:cs="宋体" w:hint="eastAsia"/>
                <w:color w:val="000000"/>
                <w:kern w:val="0"/>
                <w:szCs w:val="21"/>
              </w:rPr>
              <w:t>512室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E6766F">
            <w:pPr>
              <w:rPr>
                <w:rFonts w:asciiTheme="minorEastAsia" w:eastAsiaTheme="minorEastAsia" w:hAnsiTheme="minorEastAsia" w:hint="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  <w:p w:rsidR="00B13791" w:rsidRPr="00D974D8" w:rsidRDefault="00B1379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已变更。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B1379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B1379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C1B9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54334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5433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54334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B1379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B1379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B1379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2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B1379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CC1B91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运输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C2508" w:rsidRDefault="00E6766F" w:rsidP="008C2508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做一流产品、创一流企业,以优质的产品，不断满足顾客需求；遵守环境法律法规，实现污染控制；持续改进环境业绩，创建绿色企业；以人为本、科学管理、控制风险、关爱健康。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1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 xml:space="preserve">．产品交付合格率100%；  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交付合格数÷交付总数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2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．顾客满意度≧</w:t>
                  </w: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9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5</w:t>
                  </w: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%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2、顾客满意度总分÷调查顾客数x100%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96%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3．固体废弃物有效处置率</w:t>
                  </w: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4．无火灾事故发生；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统计火灾事故发生次数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5．无触电事故发生；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统计触电事故发生次数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6．无人身伤害事故发生；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6、统计人身伤害事故发生次数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96437C">
                  <w:pPr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B40228" w:rsidRPr="00D974D8">
              <w:tc>
                <w:tcPr>
                  <w:tcW w:w="2443" w:type="dxa"/>
                </w:tcPr>
                <w:p w:rsidR="00B40228" w:rsidRPr="00D974D8" w:rsidRDefault="00B40228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B40228" w:rsidRPr="00D974D8" w:rsidRDefault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B40228" w:rsidRPr="00D974D8" w:rsidRDefault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B40228" w:rsidRPr="00D974D8" w:rsidRDefault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3562C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562C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3562C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562C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3562C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0F" w:rsidRDefault="000F2D0F">
      <w:pPr>
        <w:spacing w:after="0" w:line="240" w:lineRule="auto"/>
      </w:pPr>
      <w:r>
        <w:separator/>
      </w:r>
    </w:p>
  </w:endnote>
  <w:endnote w:type="continuationSeparator" w:id="0">
    <w:p w:rsidR="000F2D0F" w:rsidRDefault="000F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4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334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0F" w:rsidRDefault="000F2D0F">
      <w:pPr>
        <w:spacing w:after="0" w:line="240" w:lineRule="auto"/>
      </w:pPr>
      <w:r>
        <w:separator/>
      </w:r>
    </w:p>
  </w:footnote>
  <w:footnote w:type="continuationSeparator" w:id="0">
    <w:p w:rsidR="000F2D0F" w:rsidRDefault="000F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770AEC" w:rsidP="00770AE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1080"/>
      <w:jc w:val="left"/>
      <w:rPr>
        <w:rStyle w:val="CharChar1"/>
        <w:rFonts w:hint="default"/>
      </w:rP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0" locked="0" layoutInCell="1" allowOverlap="1" wp14:anchorId="1D0AF9EE" wp14:editId="4922E059">
          <wp:simplePos x="0" y="0"/>
          <wp:positionH relativeFrom="column">
            <wp:posOffset>-29210</wp:posOffset>
          </wp:positionH>
          <wp:positionV relativeFrom="paragraph">
            <wp:posOffset>12065</wp:posOffset>
          </wp:positionV>
          <wp:extent cx="481965" cy="485140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0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F2D0F"/>
    <w:rsid w:val="00122A2C"/>
    <w:rsid w:val="00172B43"/>
    <w:rsid w:val="00321BFB"/>
    <w:rsid w:val="003562CB"/>
    <w:rsid w:val="004A6103"/>
    <w:rsid w:val="00543340"/>
    <w:rsid w:val="005623A7"/>
    <w:rsid w:val="005C3986"/>
    <w:rsid w:val="006B0602"/>
    <w:rsid w:val="00770AEC"/>
    <w:rsid w:val="007F4ADB"/>
    <w:rsid w:val="00830BA7"/>
    <w:rsid w:val="008C2508"/>
    <w:rsid w:val="008D3786"/>
    <w:rsid w:val="009701A8"/>
    <w:rsid w:val="009D547F"/>
    <w:rsid w:val="009F6441"/>
    <w:rsid w:val="00AA33EC"/>
    <w:rsid w:val="00B03EF4"/>
    <w:rsid w:val="00B13791"/>
    <w:rsid w:val="00B40228"/>
    <w:rsid w:val="00B67F2E"/>
    <w:rsid w:val="00B87BD0"/>
    <w:rsid w:val="00BF755A"/>
    <w:rsid w:val="00C13C0D"/>
    <w:rsid w:val="00C341DE"/>
    <w:rsid w:val="00CA1DDB"/>
    <w:rsid w:val="00CC1B91"/>
    <w:rsid w:val="00D67F1E"/>
    <w:rsid w:val="00D974D8"/>
    <w:rsid w:val="00DC36FE"/>
    <w:rsid w:val="00E6766F"/>
    <w:rsid w:val="00EB0FBC"/>
    <w:rsid w:val="00F45ABD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rsid w:val="00B40228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106</cp:revision>
  <dcterms:created xsi:type="dcterms:W3CDTF">2015-06-17T12:51:00Z</dcterms:created>
  <dcterms:modified xsi:type="dcterms:W3CDTF">2023-03-16T05:36:00Z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