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85"/>
        <w:gridCol w:w="938"/>
        <w:gridCol w:w="1"/>
        <w:gridCol w:w="744"/>
        <w:gridCol w:w="1"/>
        <w:gridCol w:w="9248"/>
        <w:gridCol w:w="12"/>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2185"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38"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9994" w:type="dxa"/>
            <w:gridSpan w:val="4"/>
            <w:shd w:val="clear" w:color="auto" w:fill="auto"/>
            <w:vAlign w:val="center"/>
          </w:tcPr>
          <w:p>
            <w:pPr>
              <w:rPr>
                <w:rFonts w:hint="default" w:eastAsia="宋体"/>
                <w:sz w:val="24"/>
                <w:szCs w:val="24"/>
                <w:lang w:val="en-US" w:eastAsia="zh-CN"/>
              </w:rPr>
            </w:pPr>
            <w:r>
              <w:rPr>
                <w:rFonts w:hint="eastAsia"/>
                <w:sz w:val="24"/>
                <w:szCs w:val="24"/>
              </w:rPr>
              <w:t xml:space="preserve">受审核部门：管理层 </w:t>
            </w:r>
            <w:r>
              <w:rPr>
                <w:sz w:val="24"/>
                <w:szCs w:val="24"/>
              </w:rPr>
              <w:t xml:space="preserve">    </w:t>
            </w:r>
            <w:r>
              <w:rPr>
                <w:rFonts w:hint="eastAsia"/>
                <w:sz w:val="24"/>
                <w:szCs w:val="24"/>
                <w:lang w:val="en-US" w:eastAsia="zh-CN"/>
              </w:rPr>
              <w:t xml:space="preserve">负责人：张斌 </w:t>
            </w:r>
            <w:r>
              <w:rPr>
                <w:sz w:val="24"/>
                <w:szCs w:val="24"/>
              </w:rPr>
              <w:t xml:space="preserve">  </w:t>
            </w:r>
            <w:r>
              <w:rPr>
                <w:rFonts w:hint="eastAsia"/>
                <w:sz w:val="24"/>
                <w:szCs w:val="24"/>
              </w:rPr>
              <w:t>陪同人员：</w:t>
            </w:r>
            <w:r>
              <w:rPr>
                <w:rFonts w:hint="eastAsia"/>
                <w:sz w:val="24"/>
                <w:szCs w:val="24"/>
                <w:lang w:val="en-US" w:eastAsia="zh-CN"/>
              </w:rPr>
              <w:t>郭敬</w:t>
            </w:r>
          </w:p>
        </w:tc>
        <w:tc>
          <w:tcPr>
            <w:tcW w:w="1597" w:type="dxa"/>
            <w:gridSpan w:val="2"/>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2185" w:type="dxa"/>
            <w:vMerge w:val="continue"/>
            <w:shd w:val="clear" w:color="auto" w:fill="auto"/>
            <w:vAlign w:val="center"/>
          </w:tcPr>
          <w:p/>
        </w:tc>
        <w:tc>
          <w:tcPr>
            <w:tcW w:w="938" w:type="dxa"/>
            <w:vMerge w:val="continue"/>
            <w:shd w:val="clear" w:color="auto" w:fill="auto"/>
            <w:vAlign w:val="center"/>
          </w:tcPr>
          <w:p/>
        </w:tc>
        <w:tc>
          <w:tcPr>
            <w:tcW w:w="9994" w:type="dxa"/>
            <w:gridSpan w:val="4"/>
            <w:shd w:val="clear" w:color="auto" w:fill="auto"/>
            <w:vAlign w:val="center"/>
          </w:tcPr>
          <w:p>
            <w:pPr>
              <w:spacing w:before="120"/>
              <w:rPr>
                <w:rFonts w:hint="default" w:eastAsia="宋体"/>
                <w:lang w:val="en-US" w:eastAsia="zh-CN"/>
              </w:rPr>
            </w:pPr>
            <w:r>
              <w:rPr>
                <w:rFonts w:hint="eastAsia"/>
                <w:sz w:val="24"/>
                <w:szCs w:val="24"/>
              </w:rPr>
              <w:t xml:space="preserve">审核员：肖新龙 </w:t>
            </w:r>
            <w:r>
              <w:rPr>
                <w:rFonts w:hint="eastAsia"/>
                <w:sz w:val="24"/>
                <w:szCs w:val="24"/>
                <w:lang w:val="en-US" w:eastAsia="zh-CN"/>
              </w:rPr>
              <w:t>马焕秋（实习）</w:t>
            </w:r>
            <w:r>
              <w:rPr>
                <w:sz w:val="24"/>
                <w:szCs w:val="24"/>
              </w:rPr>
              <w:t xml:space="preserve">        </w:t>
            </w:r>
            <w:r>
              <w:rPr>
                <w:rFonts w:hint="eastAsia"/>
                <w:sz w:val="24"/>
                <w:szCs w:val="24"/>
              </w:rPr>
              <w:t>审核日期：</w:t>
            </w:r>
            <w:r>
              <w:rPr>
                <w:sz w:val="24"/>
                <w:szCs w:val="24"/>
              </w:rPr>
              <w:t xml:space="preserve"> 202</w:t>
            </w:r>
            <w:r>
              <w:rPr>
                <w:rFonts w:hint="eastAsia"/>
                <w:sz w:val="24"/>
                <w:szCs w:val="24"/>
                <w:lang w:val="en-US" w:eastAsia="zh-CN"/>
              </w:rPr>
              <w:t>3-02-28日上午</w:t>
            </w:r>
          </w:p>
        </w:tc>
        <w:tc>
          <w:tcPr>
            <w:tcW w:w="159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2185" w:type="dxa"/>
            <w:vMerge w:val="continue"/>
            <w:shd w:val="clear" w:color="auto" w:fill="auto"/>
            <w:vAlign w:val="center"/>
          </w:tcPr>
          <w:p/>
        </w:tc>
        <w:tc>
          <w:tcPr>
            <w:tcW w:w="938" w:type="dxa"/>
            <w:vMerge w:val="continue"/>
            <w:shd w:val="clear" w:color="auto" w:fill="auto"/>
            <w:vAlign w:val="center"/>
          </w:tcPr>
          <w:p/>
        </w:tc>
        <w:tc>
          <w:tcPr>
            <w:tcW w:w="9994" w:type="dxa"/>
            <w:gridSpan w:val="4"/>
            <w:shd w:val="clear" w:color="auto" w:fill="auto"/>
            <w:vAlign w:val="center"/>
          </w:tcPr>
          <w:p>
            <w:pPr>
              <w:tabs>
                <w:tab w:val="left" w:pos="709"/>
              </w:tabs>
              <w:ind w:right="57"/>
              <w:jc w:val="left"/>
            </w:pPr>
            <w:r>
              <w:rPr>
                <w:rFonts w:hint="eastAsia"/>
                <w:sz w:val="24"/>
                <w:szCs w:val="24"/>
              </w:rPr>
              <w:t>审核条款：FSMS：4.1/4.2/4.3/4.4/5.1/5.2/5.3/6.1/6.2/6.3/7.1.1/</w:t>
            </w:r>
            <w:r>
              <w:rPr>
                <w:sz w:val="24"/>
                <w:szCs w:val="24"/>
              </w:rPr>
              <w:t>7.4</w:t>
            </w:r>
            <w:r>
              <w:rPr>
                <w:rFonts w:hint="eastAsia"/>
                <w:sz w:val="24"/>
                <w:szCs w:val="24"/>
              </w:rPr>
              <w:t>/9.1.1</w:t>
            </w:r>
            <w:r>
              <w:rPr>
                <w:sz w:val="24"/>
                <w:szCs w:val="24"/>
              </w:rPr>
              <w:t>/</w:t>
            </w:r>
            <w:r>
              <w:rPr>
                <w:rFonts w:hint="eastAsia"/>
                <w:sz w:val="24"/>
                <w:szCs w:val="24"/>
                <w:lang w:val="en-US" w:eastAsia="zh-CN"/>
              </w:rPr>
              <w:t>9.2/</w:t>
            </w:r>
            <w:r>
              <w:rPr>
                <w:rFonts w:hint="eastAsia"/>
                <w:sz w:val="24"/>
                <w:szCs w:val="24"/>
              </w:rPr>
              <w:t>9.3/</w:t>
            </w:r>
            <w:r>
              <w:rPr>
                <w:rFonts w:hint="eastAsia"/>
                <w:sz w:val="24"/>
                <w:szCs w:val="24"/>
                <w:lang w:val="en-US" w:eastAsia="zh-CN"/>
              </w:rPr>
              <w:t>10.1</w:t>
            </w:r>
            <w:r>
              <w:rPr>
                <w:sz w:val="24"/>
                <w:szCs w:val="24"/>
              </w:rPr>
              <w:t>/</w:t>
            </w:r>
            <w:r>
              <w:rPr>
                <w:rFonts w:hint="eastAsia"/>
                <w:sz w:val="24"/>
                <w:szCs w:val="24"/>
              </w:rPr>
              <w:t>10.2/10.3</w:t>
            </w:r>
          </w:p>
        </w:tc>
        <w:tc>
          <w:tcPr>
            <w:tcW w:w="159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85" w:type="dxa"/>
            <w:vMerge w:val="restart"/>
            <w:shd w:val="clear" w:color="auto" w:fill="auto"/>
          </w:tcPr>
          <w:p>
            <w:r>
              <w:rPr>
                <w:rFonts w:hint="eastAsia"/>
              </w:rPr>
              <w:t>理解组织及其环境</w:t>
            </w:r>
          </w:p>
        </w:tc>
        <w:tc>
          <w:tcPr>
            <w:tcW w:w="938" w:type="dxa"/>
            <w:vMerge w:val="restart"/>
            <w:shd w:val="clear" w:color="auto" w:fill="auto"/>
          </w:tcPr>
          <w:p>
            <w:r>
              <w:rPr>
                <w:rFonts w:hint="eastAsia"/>
              </w:rPr>
              <w:t>F4.1</w:t>
            </w:r>
          </w:p>
        </w:tc>
        <w:tc>
          <w:tcPr>
            <w:tcW w:w="745" w:type="dxa"/>
            <w:gridSpan w:val="2"/>
            <w:shd w:val="clear" w:color="auto" w:fill="auto"/>
          </w:tcPr>
          <w:p>
            <w:r>
              <w:rPr>
                <w:rFonts w:hint="eastAsia"/>
              </w:rPr>
              <w:t>文件名称</w:t>
            </w:r>
          </w:p>
        </w:tc>
        <w:tc>
          <w:tcPr>
            <w:tcW w:w="9249" w:type="dxa"/>
            <w:gridSpan w:val="2"/>
            <w:shd w:val="clear" w:color="auto" w:fill="auto"/>
          </w:tcPr>
          <w:p>
            <w:r>
              <w:rPr>
                <w:rFonts w:hint="eastAsia"/>
              </w:rPr>
              <w:t>如：</w:t>
            </w:r>
            <w:r>
              <w:rPr/>
              <w:sym w:font="Wingdings" w:char="00FE"/>
            </w:r>
            <w:r>
              <w:rPr>
                <w:rFonts w:hint="eastAsia"/>
              </w:rPr>
              <w:t>管理手册第4.1条款、</w:t>
            </w:r>
            <w:r>
              <w:rPr/>
              <w:sym w:font="Wingdings" w:char="00A8"/>
            </w:r>
            <w:r>
              <w:rPr>
                <w:rFonts w:hint="eastAsia"/>
                <w:lang w:eastAsia="zh-CN"/>
              </w:rPr>
              <w:t>《</w:t>
            </w:r>
            <w:r>
              <w:rPr>
                <w:rFonts w:hint="eastAsia"/>
              </w:rPr>
              <w:t>组织内外部环境要素识别表</w:t>
            </w:r>
            <w:r>
              <w:rPr>
                <w:rFonts w:hint="eastAsia"/>
                <w:lang w:eastAsia="zh-CN"/>
              </w:rPr>
              <w:t>》</w:t>
            </w:r>
          </w:p>
        </w:tc>
        <w:tc>
          <w:tcPr>
            <w:tcW w:w="1597"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185" w:type="dxa"/>
            <w:vMerge w:val="continue"/>
            <w:shd w:val="clear" w:color="auto" w:fill="auto"/>
          </w:tcPr>
          <w:p/>
        </w:tc>
        <w:tc>
          <w:tcPr>
            <w:tcW w:w="938" w:type="dxa"/>
            <w:vMerge w:val="continue"/>
            <w:shd w:val="clear" w:color="auto" w:fill="auto"/>
          </w:tcPr>
          <w:p/>
        </w:tc>
        <w:tc>
          <w:tcPr>
            <w:tcW w:w="745" w:type="dxa"/>
            <w:gridSpan w:val="2"/>
            <w:shd w:val="clear" w:color="auto" w:fill="auto"/>
          </w:tcPr>
          <w:p>
            <w:r>
              <w:rPr>
                <w:rFonts w:hint="eastAsia"/>
              </w:rPr>
              <w:t>运行证据</w:t>
            </w:r>
          </w:p>
        </w:tc>
        <w:tc>
          <w:tcPr>
            <w:tcW w:w="9249" w:type="dxa"/>
            <w:gridSpan w:val="2"/>
            <w:shd w:val="clear" w:color="auto" w:fill="auto"/>
          </w:tcPr>
          <w:p>
            <w:pPr>
              <w:rPr>
                <w:color w:val="000000"/>
                <w:szCs w:val="21"/>
              </w:rPr>
            </w:pPr>
            <w:r>
              <w:rPr>
                <w:rFonts w:hint="eastAsia"/>
                <w:color w:val="000000"/>
                <w:szCs w:val="21"/>
              </w:rPr>
              <w:t>与最高管理者沟通：</w:t>
            </w:r>
          </w:p>
          <w:p>
            <w:pPr>
              <w:rPr>
                <w:color w:val="000000"/>
                <w:szCs w:val="21"/>
              </w:rPr>
            </w:pPr>
            <w:r>
              <w:rPr>
                <w:rFonts w:hint="eastAsia"/>
                <w:color w:val="000000"/>
                <w:szCs w:val="21"/>
              </w:rPr>
              <w:t>组织的环境：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r>
                    <w:rPr>
                      <w:rFonts w:hint="eastAsia"/>
                    </w:rPr>
                    <w:t>外部环境</w:t>
                  </w:r>
                </w:p>
              </w:tc>
              <w:tc>
                <w:tcPr>
                  <w:tcW w:w="709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 xml:space="preserve">网络安全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 xml:space="preserve">食品欺诈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 xml:space="preserve">食品防护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pPr>
                    <w:rPr>
                      <w:rFonts w:hint="default" w:eastAsia="宋体"/>
                      <w:lang w:val="en-US" w:eastAsia="zh-CN"/>
                    </w:rPr>
                  </w:pPr>
                  <w:r>
                    <w:rPr>
                      <w:rFonts w:hint="eastAsia"/>
                      <w:lang w:val="en-US" w:eastAsia="zh-CN"/>
                    </w:rPr>
                    <w:t>列举主要内容</w:t>
                  </w:r>
                </w:p>
              </w:tc>
              <w:tc>
                <w:tcPr>
                  <w:tcW w:w="7099" w:type="dxa"/>
                </w:tcPr>
                <w:p>
                  <w:pPr>
                    <w:rPr>
                      <w:rFonts w:hint="default" w:ascii="宋体" w:hAnsi="宋体" w:eastAsia="宋体"/>
                      <w:lang w:val="en-US" w:eastAsia="zh-CN"/>
                    </w:rPr>
                  </w:pPr>
                  <w:r>
                    <w:rPr>
                      <w:rFonts w:hint="eastAsia" w:ascii="宋体" w:hAnsi="宋体"/>
                      <w:lang w:val="en-US" w:eastAsia="zh-CN"/>
                    </w:rPr>
                    <w:t>市场竞争激烈，客户对食品安全要求越来越高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r>
                    <w:rPr>
                      <w:rFonts w:hint="eastAsia"/>
                    </w:rPr>
                    <w:t>内部环境</w:t>
                  </w:r>
                </w:p>
              </w:tc>
              <w:tc>
                <w:tcPr>
                  <w:tcW w:w="709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r>
                    <w:rPr>
                      <w:rFonts w:hint="eastAsia"/>
                    </w:rPr>
                    <w:t>列举主要的内容</w:t>
                  </w:r>
                </w:p>
              </w:tc>
              <w:tc>
                <w:tcPr>
                  <w:tcW w:w="7099" w:type="dxa"/>
                </w:tcPr>
                <w:p>
                  <w:pPr>
                    <w:pStyle w:val="9"/>
                    <w:ind w:left="0" w:leftChars="0" w:firstLine="0" w:firstLineChars="0"/>
                    <w:rPr>
                      <w:rFonts w:hint="default"/>
                      <w:lang w:val="en-US" w:eastAsia="zh-CN"/>
                    </w:rPr>
                  </w:pPr>
                  <w:r>
                    <w:rPr>
                      <w:rFonts w:hint="eastAsia"/>
                      <w:lang w:val="en-US" w:eastAsia="zh-CN"/>
                    </w:rPr>
                    <w:t>经营多年，核心人员较为稳定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r>
                    <w:rPr>
                      <w:rFonts w:hint="eastAsia"/>
                      <w:color w:val="000000"/>
                      <w:szCs w:val="21"/>
                    </w:rPr>
                    <w:t>组织优势说明</w:t>
                  </w:r>
                </w:p>
              </w:tc>
              <w:tc>
                <w:tcPr>
                  <w:tcW w:w="7099" w:type="dxa"/>
                </w:tcPr>
                <w:p>
                  <w:pPr>
                    <w:rPr>
                      <w:rFonts w:hint="default" w:eastAsia="宋体"/>
                      <w:lang w:val="en-US" w:eastAsia="zh-CN"/>
                    </w:rPr>
                  </w:pPr>
                  <w:r>
                    <w:rPr>
                      <w:rFonts w:hint="eastAsia"/>
                      <w:lang w:val="en-US" w:eastAsia="zh-CN"/>
                    </w:rPr>
                    <w:t>资源丰富，客户群体基本稳定，经营多年，经验丰富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r>
                    <w:rPr>
                      <w:rFonts w:hint="eastAsia"/>
                      <w:color w:val="000000"/>
                      <w:szCs w:val="21"/>
                    </w:rPr>
                    <w:t>组织劣势说明</w:t>
                  </w:r>
                </w:p>
              </w:tc>
              <w:tc>
                <w:tcPr>
                  <w:tcW w:w="7099" w:type="dxa"/>
                </w:tcPr>
                <w:p>
                  <w:pPr>
                    <w:rPr>
                      <w:rFonts w:hint="eastAsia" w:ascii="宋体" w:hAnsi="宋体"/>
                      <w:kern w:val="0"/>
                      <w:szCs w:val="21"/>
                      <w:lang w:val="en-US" w:eastAsia="zh-CN"/>
                    </w:rPr>
                  </w:pPr>
                  <w:r>
                    <w:rPr>
                      <w:rFonts w:hint="eastAsia" w:ascii="宋体" w:hAnsi="宋体"/>
                      <w:kern w:val="0"/>
                      <w:szCs w:val="21"/>
                      <w:lang w:val="en-US" w:eastAsia="zh-CN"/>
                    </w:rPr>
                    <w:t>食品销售行业，竞争激烈</w:t>
                  </w:r>
                </w:p>
                <w:p>
                  <w:pPr>
                    <w:rPr>
                      <w:rFonts w:hint="default" w:ascii="宋体" w:hAnsi="宋体" w:eastAsia="宋体"/>
                      <w:kern w:val="0"/>
                      <w:szCs w:val="21"/>
                      <w:lang w:val="en-US" w:eastAsia="zh-CN"/>
                    </w:rPr>
                  </w:pPr>
                  <w:r>
                    <w:rPr>
                      <w:rFonts w:hint="eastAsia" w:ascii="宋体" w:hAnsi="宋体"/>
                      <w:kern w:val="0"/>
                      <w:szCs w:val="21"/>
                      <w:lang w:val="en-US" w:eastAsia="zh-CN"/>
                    </w:rPr>
                    <w:t>人员学历较低，对体系化管理的要求学习较慢，人员流动性比较大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r>
                    <w:rPr>
                      <w:rFonts w:hint="eastAsia"/>
                      <w:color w:val="000000"/>
                      <w:szCs w:val="21"/>
                    </w:rPr>
                    <w:t>主要风险的说明</w:t>
                  </w:r>
                </w:p>
              </w:tc>
              <w:tc>
                <w:tcPr>
                  <w:tcW w:w="7099" w:type="dxa"/>
                </w:tcPr>
                <w:p>
                  <w:pPr>
                    <w:rPr>
                      <w:rFonts w:hint="eastAsia"/>
                      <w:lang w:val="en-US" w:eastAsia="zh-CN"/>
                    </w:rPr>
                  </w:pPr>
                  <w:r>
                    <w:rPr>
                      <w:rFonts w:hint="eastAsia"/>
                      <w:lang w:val="en-US" w:eastAsia="zh-CN"/>
                    </w:rPr>
                    <w:t>采购的食材安全控制不当，导致农残、兽残等超标</w:t>
                  </w:r>
                </w:p>
                <w:p>
                  <w:pPr>
                    <w:pStyle w:val="8"/>
                    <w:ind w:left="0" w:leftChars="0" w:firstLine="0" w:firstLineChars="0"/>
                    <w:rPr>
                      <w:rFonts w:hint="default"/>
                      <w:lang w:val="en-US" w:eastAsia="zh-CN"/>
                    </w:rPr>
                  </w:pPr>
                  <w:r>
                    <w:rPr>
                      <w:rFonts w:hint="eastAsia"/>
                      <w:lang w:val="en-US" w:eastAsia="zh-CN"/>
                    </w:rPr>
                    <w:t>配送不及时，导致客户满意度降低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r>
                    <w:rPr>
                      <w:rFonts w:hint="eastAsia"/>
                      <w:color w:val="000000"/>
                      <w:szCs w:val="21"/>
                    </w:rPr>
                    <w:t>机遇的说明</w:t>
                  </w:r>
                </w:p>
              </w:tc>
              <w:tc>
                <w:tcPr>
                  <w:tcW w:w="7099" w:type="dxa"/>
                </w:tcPr>
                <w:p>
                  <w:pPr>
                    <w:rPr>
                      <w:rFonts w:hint="default"/>
                      <w:lang w:val="en-US"/>
                    </w:rPr>
                  </w:pPr>
                  <w:r>
                    <w:rPr>
                      <w:rFonts w:hint="eastAsia"/>
                      <w:lang w:val="en-US" w:eastAsia="zh-CN"/>
                    </w:rPr>
                    <w:t>经营多年，经验丰富，通过体系导入，提升人员食品安全意识，赢得更多新客户</w:t>
                  </w:r>
                </w:p>
              </w:tc>
            </w:tr>
          </w:tbl>
          <w:p>
            <w:pPr>
              <w:rPr>
                <w:color w:val="000000"/>
                <w:szCs w:val="21"/>
              </w:rPr>
            </w:pPr>
          </w:p>
          <w:p>
            <w:pPr>
              <w:rPr>
                <w:rFonts w:hint="default" w:eastAsia="宋体"/>
                <w:color w:val="000000"/>
                <w:szCs w:val="21"/>
                <w:lang w:val="en-US" w:eastAsia="zh-CN"/>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《组织环境内外部因素分析汇总表》</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FE"/>
            </w:r>
            <w:r>
              <w:rPr>
                <w:rFonts w:hint="eastAsia"/>
              </w:rPr>
              <w:t>其他</w:t>
            </w:r>
            <w:r>
              <w:rPr>
                <w:rFonts w:hint="eastAsia"/>
                <w:lang w:eastAsia="zh-CN"/>
              </w:rPr>
              <w:t>——</w:t>
            </w:r>
            <w:r>
              <w:rPr>
                <w:rFonts w:hint="eastAsia"/>
                <w:lang w:val="en-US" w:eastAsia="zh-CN"/>
              </w:rPr>
              <w:t>现场沟通，</w:t>
            </w:r>
          </w:p>
        </w:tc>
        <w:tc>
          <w:tcPr>
            <w:tcW w:w="159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85" w:type="dxa"/>
            <w:vMerge w:val="restart"/>
            <w:shd w:val="clear" w:color="auto" w:fill="auto"/>
          </w:tcPr>
          <w:p>
            <w:r>
              <w:rPr>
                <w:rFonts w:hint="eastAsia"/>
              </w:rPr>
              <w:t>理解相关方的需求和期望</w:t>
            </w:r>
          </w:p>
        </w:tc>
        <w:tc>
          <w:tcPr>
            <w:tcW w:w="938" w:type="dxa"/>
            <w:vMerge w:val="restart"/>
            <w:shd w:val="clear" w:color="auto" w:fill="auto"/>
          </w:tcPr>
          <w:p>
            <w:r>
              <w:rPr>
                <w:rFonts w:hint="eastAsia"/>
              </w:rPr>
              <w:t>F4.2</w:t>
            </w:r>
          </w:p>
        </w:tc>
        <w:tc>
          <w:tcPr>
            <w:tcW w:w="745" w:type="dxa"/>
            <w:gridSpan w:val="2"/>
            <w:shd w:val="clear" w:color="auto" w:fill="auto"/>
          </w:tcPr>
          <w:p>
            <w:r>
              <w:rPr>
                <w:rFonts w:hint="eastAsia"/>
              </w:rPr>
              <w:t>文件名称</w:t>
            </w:r>
          </w:p>
        </w:tc>
        <w:tc>
          <w:tcPr>
            <w:tcW w:w="9249"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《相关方需求和期望控制程序》、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管理手册第4.2条款</w:t>
            </w:r>
          </w:p>
        </w:tc>
        <w:tc>
          <w:tcPr>
            <w:tcW w:w="1597"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4" w:hRule="atLeast"/>
        </w:trPr>
        <w:tc>
          <w:tcPr>
            <w:tcW w:w="2185" w:type="dxa"/>
            <w:vMerge w:val="continue"/>
            <w:shd w:val="clear" w:color="auto" w:fill="auto"/>
          </w:tcPr>
          <w:p/>
        </w:tc>
        <w:tc>
          <w:tcPr>
            <w:tcW w:w="938" w:type="dxa"/>
            <w:vMerge w:val="continue"/>
            <w:shd w:val="clear" w:color="auto" w:fill="auto"/>
          </w:tcPr>
          <w:p/>
        </w:tc>
        <w:tc>
          <w:tcPr>
            <w:tcW w:w="745" w:type="dxa"/>
            <w:gridSpan w:val="2"/>
            <w:shd w:val="clear" w:color="auto" w:fill="auto"/>
          </w:tcPr>
          <w:p>
            <w:r>
              <w:rPr>
                <w:rFonts w:hint="eastAsia"/>
              </w:rPr>
              <w:t>运行证据</w:t>
            </w:r>
          </w:p>
        </w:tc>
        <w:tc>
          <w:tcPr>
            <w:tcW w:w="9249" w:type="dxa"/>
            <w:gridSpan w:val="2"/>
            <w:shd w:val="clear" w:color="auto" w:fill="auto"/>
          </w:tcPr>
          <w:p>
            <w:pPr>
              <w:rPr>
                <w:color w:val="000000"/>
                <w:szCs w:val="21"/>
              </w:rPr>
            </w:pPr>
            <w:r>
              <w:rPr>
                <w:rFonts w:hint="eastAsia"/>
                <w:color w:val="000000"/>
                <w:szCs w:val="21"/>
              </w:rPr>
              <w:t xml:space="preserve"> </w:t>
            </w:r>
          </w:p>
          <w:tbl>
            <w:tblPr>
              <w:tblStyle w:val="11"/>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01"/>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重要的相关方</w:t>
                  </w:r>
                </w:p>
              </w:tc>
              <w:tc>
                <w:tcPr>
                  <w:tcW w:w="2701" w:type="dxa"/>
                </w:tcPr>
                <w:p>
                  <w:r>
                    <w:rPr>
                      <w:rFonts w:hint="eastAsia"/>
                    </w:rPr>
                    <w:t>相关方名称举例</w:t>
                  </w:r>
                </w:p>
              </w:tc>
              <w:tc>
                <w:tcPr>
                  <w:tcW w:w="4729" w:type="dxa"/>
                </w:tcPr>
                <w:p>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主管部门</w:t>
                  </w:r>
                </w:p>
              </w:tc>
              <w:tc>
                <w:tcPr>
                  <w:tcW w:w="2701" w:type="dxa"/>
                </w:tcPr>
                <w:p>
                  <w:pPr>
                    <w:rPr>
                      <w:rFonts w:hint="default" w:eastAsia="宋体"/>
                      <w:highlight w:val="none"/>
                      <w:lang w:val="en-US" w:eastAsia="zh-CN"/>
                    </w:rPr>
                  </w:pPr>
                  <w:r>
                    <w:rPr>
                      <w:rFonts w:hint="eastAsia"/>
                      <w:highlight w:val="none"/>
                      <w:lang w:val="en-US" w:eastAsia="zh-CN"/>
                    </w:rPr>
                    <w:t>北京市丰台区市场监督管理局、新发地农产品批发市场</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遵守食品安全相关的法律法规</w:t>
                  </w:r>
                </w:p>
                <w:p>
                  <w:pPr>
                    <w:rPr>
                      <w:rFonts w:hint="default" w:eastAsia="宋体"/>
                      <w:lang w:val="en-US" w:eastAsia="zh-CN"/>
                    </w:rPr>
                  </w:pPr>
                  <w:r>
                    <w:rPr>
                      <w:rFonts w:hint="eastAsia"/>
                      <w:lang w:eastAsia="zh-CN"/>
                    </w:rPr>
                    <w:t>☑</w:t>
                  </w:r>
                  <w:r>
                    <w:rPr>
                      <w:rFonts w:hint="eastAsia"/>
                      <w:lang w:val="en-US" w:eastAsia="zh-CN"/>
                    </w:rPr>
                    <w:t>遵守市场管理规定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供方</w:t>
                  </w:r>
                </w:p>
              </w:tc>
              <w:tc>
                <w:tcPr>
                  <w:tcW w:w="2701" w:type="dxa"/>
                </w:tcPr>
                <w:p>
                  <w:pPr>
                    <w:rPr>
                      <w:rFonts w:hint="default" w:eastAsia="宋体"/>
                      <w:highlight w:val="none"/>
                      <w:lang w:val="en-US" w:eastAsia="zh-CN"/>
                    </w:rPr>
                  </w:pPr>
                  <w:r>
                    <w:rPr>
                      <w:rFonts w:hint="eastAsia"/>
                      <w:highlight w:val="none"/>
                      <w:u w:val="single"/>
                      <w:lang w:val="en-US" w:eastAsia="zh-CN"/>
                    </w:rPr>
                    <w:t>保定振宏食品加工有限公司、北京杨林嘉业</w:t>
                  </w:r>
                  <w:r>
                    <w:rPr>
                      <w:rFonts w:hint="eastAsia"/>
                      <w:highlight w:val="none"/>
                      <w:u w:val="single"/>
                    </w:rPr>
                    <w:t>商贸有限公司</w:t>
                  </w:r>
                  <w:r>
                    <w:rPr>
                      <w:rFonts w:hint="eastAsia"/>
                      <w:highlight w:val="none"/>
                      <w:lang w:val="en-US" w:eastAsia="zh-CN"/>
                    </w:rPr>
                    <w:t>等</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组织的持续经营、明示食品安全采购要求</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highlight w:val="none"/>
                    </w:rPr>
                    <w:t>顾客</w:t>
                  </w:r>
                </w:p>
              </w:tc>
              <w:tc>
                <w:tcPr>
                  <w:tcW w:w="2701" w:type="dxa"/>
                </w:tcPr>
                <w:p>
                  <w:pPr>
                    <w:rPr>
                      <w:rFonts w:hint="default" w:eastAsia="宋体"/>
                      <w:highlight w:val="none"/>
                      <w:lang w:val="en-US" w:eastAsia="zh-CN"/>
                    </w:rPr>
                  </w:pPr>
                  <w:r>
                    <w:rPr>
                      <w:rFonts w:hint="eastAsia"/>
                      <w:highlight w:val="none"/>
                      <w:lang w:val="en-US" w:eastAsia="zh-CN"/>
                    </w:rPr>
                    <w:t>中国人民解放军95968部队</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按时按质按量交付产品或服务；</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产品/服务质量持续满足要求</w:t>
                  </w:r>
                </w:p>
                <w:p>
                  <w:pPr>
                    <w:ind w:left="210" w:hanging="210" w:hangingChars="100"/>
                    <w:rPr>
                      <w:highlight w:val="none"/>
                    </w:rPr>
                  </w:pPr>
                  <w:r>
                    <w:rPr>
                      <w:rFonts w:hint="eastAsia"/>
                      <w:highlight w:val="none"/>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消费者</w:t>
                  </w:r>
                </w:p>
              </w:tc>
              <w:tc>
                <w:tcPr>
                  <w:tcW w:w="2701" w:type="dxa"/>
                </w:tcPr>
                <w:p>
                  <w:pPr>
                    <w:rPr>
                      <w:rFonts w:hint="default" w:eastAsia="宋体"/>
                      <w:lang w:val="en-US" w:eastAsia="zh-CN"/>
                    </w:rPr>
                  </w:pPr>
                  <w:r>
                    <w:rPr>
                      <w:rFonts w:hint="eastAsia"/>
                      <w:lang w:val="en-US" w:eastAsia="zh-CN"/>
                    </w:rPr>
                    <w:t>企事业单位、幼儿园食堂</w:t>
                  </w:r>
                </w:p>
              </w:tc>
              <w:tc>
                <w:tcPr>
                  <w:tcW w:w="4729" w:type="dxa"/>
                </w:tcPr>
                <w:p>
                  <w:r>
                    <w:rPr>
                      <w:rFonts w:hint="eastAsia"/>
                      <w:lang w:eastAsia="zh-CN"/>
                    </w:rPr>
                    <w:t>☑</w:t>
                  </w:r>
                  <w:r>
                    <w:rPr>
                      <w:rFonts w:hint="eastAsia"/>
                    </w:rPr>
                    <w:t>良好的使用感受</w:t>
                  </w:r>
                </w:p>
                <w:p>
                  <w:r>
                    <w:rPr>
                      <w:rFonts w:hint="eastAsia"/>
                      <w:lang w:eastAsia="zh-CN"/>
                    </w:rPr>
                    <w:t>☑</w:t>
                  </w:r>
                  <w:r>
                    <w:rPr>
                      <w:rFonts w:hint="eastAsia"/>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员工</w:t>
                  </w:r>
                </w:p>
              </w:tc>
              <w:tc>
                <w:tcPr>
                  <w:tcW w:w="2701" w:type="dxa"/>
                </w:tcPr>
                <w:p>
                  <w:pPr>
                    <w:rPr>
                      <w:szCs w:val="24"/>
                    </w:rPr>
                  </w:pPr>
                  <w:r>
                    <w:rPr>
                      <w:rFonts w:hint="eastAsia"/>
                      <w:szCs w:val="24"/>
                    </w:rPr>
                    <w:t>雇员</w:t>
                  </w:r>
                </w:p>
              </w:tc>
              <w:tc>
                <w:tcPr>
                  <w:tcW w:w="4729" w:type="dxa"/>
                </w:tcPr>
                <w:p>
                  <w:r>
                    <w:rPr>
                      <w:rFonts w:hint="eastAsia"/>
                    </w:rPr>
                    <w:t>☑组织的持续经营、自我发展</w:t>
                  </w:r>
                </w:p>
                <w:p>
                  <w:r>
                    <w:rPr>
                      <w:rFonts w:hint="eastAsia"/>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投资方</w:t>
                  </w:r>
                </w:p>
              </w:tc>
              <w:tc>
                <w:tcPr>
                  <w:tcW w:w="2701" w:type="dxa"/>
                </w:tcPr>
                <w:p>
                  <w:pPr>
                    <w:rPr>
                      <w:rFonts w:hint="eastAsia" w:eastAsia="宋体"/>
                      <w:lang w:eastAsia="zh-CN"/>
                    </w:rPr>
                  </w:pPr>
                  <w:r>
                    <w:rPr>
                      <w:rFonts w:hint="eastAsia"/>
                      <w:lang w:eastAsia="zh-CN"/>
                    </w:rPr>
                    <w:t>——</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组织的持续经营、盈利</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社区</w:t>
                  </w:r>
                </w:p>
              </w:tc>
              <w:tc>
                <w:tcPr>
                  <w:tcW w:w="2701" w:type="dxa"/>
                </w:tcPr>
                <w:p>
                  <w:pPr>
                    <w:rPr>
                      <w:rFonts w:hint="default" w:eastAsia="宋体"/>
                      <w:highlight w:val="none"/>
                      <w:lang w:val="en-US" w:eastAsia="zh-CN"/>
                    </w:rPr>
                  </w:pPr>
                  <w:r>
                    <w:rPr>
                      <w:rFonts w:hint="eastAsia"/>
                      <w:highlight w:val="none"/>
                      <w:lang w:val="en-US" w:eastAsia="zh-CN"/>
                    </w:rPr>
                    <w:t>新发地农产品批发市场</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不因食品安全问题影响周围人员的就业</w:t>
                  </w:r>
                </w:p>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不因</w:t>
                  </w:r>
                  <w:r>
                    <w:rPr>
                      <w:rFonts w:hint="eastAsia"/>
                      <w:lang w:val="en-US" w:eastAsia="zh-CN"/>
                    </w:rPr>
                    <w:t>销售活动</w:t>
                  </w:r>
                  <w:r>
                    <w:rPr>
                      <w:rFonts w:hint="eastAsia"/>
                    </w:rPr>
                    <w:t>影响到</w:t>
                  </w:r>
                  <w:r>
                    <w:rPr>
                      <w:rFonts w:hint="eastAsia"/>
                      <w:lang w:val="en-US" w:eastAsia="zh-CN"/>
                    </w:rPr>
                    <w:t>市场其他商户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701" w:type="dxa"/>
                </w:tcPr>
                <w:p/>
              </w:tc>
              <w:tc>
                <w:tcPr>
                  <w:tcW w:w="4729" w:type="dxa"/>
                </w:tcPr>
                <w:p/>
              </w:tc>
            </w:tr>
          </w:tbl>
          <w:p>
            <w:pPr>
              <w:rPr>
                <w:color w:val="000000"/>
                <w:szCs w:val="21"/>
              </w:rPr>
            </w:pPr>
          </w:p>
          <w:p>
            <w:pPr>
              <w:rPr>
                <w:color w:val="000000"/>
                <w:szCs w:val="21"/>
              </w:rPr>
            </w:pPr>
            <w:r>
              <w:rPr>
                <w:rFonts w:hint="eastAsia"/>
                <w:color w:val="000000"/>
                <w:szCs w:val="21"/>
              </w:rPr>
              <w:t>主要证据体现在</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《相关方期望要求识别表》、</w:t>
            </w:r>
            <w:r>
              <w:rPr>
                <w:rFonts w:hint="eastAsia"/>
              </w:rPr>
              <w:sym w:font="Wingdings" w:char="00A8"/>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FE"/>
            </w:r>
            <w:r>
              <w:rPr>
                <w:rFonts w:hint="eastAsia"/>
              </w:rPr>
              <w:t>其他</w:t>
            </w:r>
            <w:r>
              <w:rPr>
                <w:rFonts w:hint="eastAsia"/>
                <w:lang w:eastAsia="zh-CN"/>
              </w:rPr>
              <w:t>——</w:t>
            </w:r>
            <w:r>
              <w:rPr>
                <w:rFonts w:hint="eastAsia"/>
                <w:lang w:val="en-US" w:eastAsia="zh-CN"/>
              </w:rPr>
              <w:t>现场沟通</w:t>
            </w:r>
          </w:p>
        </w:tc>
        <w:tc>
          <w:tcPr>
            <w:tcW w:w="159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85" w:type="dxa"/>
            <w:vMerge w:val="restart"/>
            <w:shd w:val="clear" w:color="auto" w:fill="auto"/>
          </w:tcPr>
          <w:p>
            <w:r>
              <w:rPr>
                <w:rFonts w:hint="eastAsia"/>
              </w:rPr>
              <w:t>确定食品安全管理体系的范围</w:t>
            </w:r>
          </w:p>
        </w:tc>
        <w:tc>
          <w:tcPr>
            <w:tcW w:w="938" w:type="dxa"/>
            <w:vMerge w:val="restart"/>
            <w:shd w:val="clear" w:color="auto" w:fill="auto"/>
          </w:tcPr>
          <w:p>
            <w:r>
              <w:rPr>
                <w:rFonts w:hint="eastAsia"/>
              </w:rPr>
              <w:t>F4.3</w:t>
            </w:r>
          </w:p>
        </w:tc>
        <w:tc>
          <w:tcPr>
            <w:tcW w:w="745" w:type="dxa"/>
            <w:gridSpan w:val="2"/>
            <w:shd w:val="clear" w:color="auto" w:fill="auto"/>
          </w:tcPr>
          <w:p>
            <w:r>
              <w:rPr>
                <w:rFonts w:hint="eastAsia"/>
              </w:rPr>
              <w:t>文件名称</w:t>
            </w:r>
          </w:p>
        </w:tc>
        <w:tc>
          <w:tcPr>
            <w:tcW w:w="9249" w:type="dxa"/>
            <w:gridSpan w:val="2"/>
            <w:shd w:val="clear" w:color="auto" w:fill="auto"/>
          </w:tcPr>
          <w:p>
            <w:r>
              <w:rPr>
                <w:rFonts w:hint="eastAsia"/>
              </w:rPr>
              <w:t>如：</w:t>
            </w:r>
            <w:r>
              <w:rPr/>
              <w:sym w:font="Wingdings" w:char="00FE"/>
            </w:r>
            <w:r>
              <w:rPr>
                <w:rFonts w:hint="eastAsia"/>
              </w:rPr>
              <w:t>管理手册第4.3条款</w:t>
            </w:r>
          </w:p>
        </w:tc>
        <w:tc>
          <w:tcPr>
            <w:tcW w:w="1597"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85" w:type="dxa"/>
            <w:vMerge w:val="continue"/>
            <w:shd w:val="clear" w:color="auto" w:fill="auto"/>
          </w:tcPr>
          <w:p/>
        </w:tc>
        <w:tc>
          <w:tcPr>
            <w:tcW w:w="938" w:type="dxa"/>
            <w:vMerge w:val="continue"/>
            <w:shd w:val="clear" w:color="auto" w:fill="auto"/>
          </w:tcPr>
          <w:p/>
        </w:tc>
        <w:tc>
          <w:tcPr>
            <w:tcW w:w="745" w:type="dxa"/>
            <w:gridSpan w:val="2"/>
            <w:shd w:val="clear" w:color="auto" w:fill="auto"/>
          </w:tcPr>
          <w:p>
            <w:r>
              <w:rPr>
                <w:rFonts w:hint="eastAsia"/>
              </w:rPr>
              <w:t>运行证据</w:t>
            </w:r>
          </w:p>
        </w:tc>
        <w:tc>
          <w:tcPr>
            <w:tcW w:w="9249" w:type="dxa"/>
            <w:gridSpan w:val="2"/>
            <w:shd w:val="clear" w:color="auto" w:fill="auto"/>
          </w:tcPr>
          <w:p>
            <w:r>
              <w:rPr>
                <w:rFonts w:hint="eastAsia"/>
              </w:rPr>
              <w:t>组织应明确相关管理体系的范围；</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5446" w:type="dxa"/>
                </w:tcPr>
                <w:p>
                  <w:r>
                    <w:rPr>
                      <w:rFonts w:hint="eastAsia"/>
                    </w:rPr>
                    <w:t>内容描述</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5446" w:type="dxa"/>
                </w:tcPr>
                <w:p>
                  <w:pPr>
                    <w:rPr>
                      <w:rFonts w:hint="default" w:ascii="Times New Roman" w:hAnsi="Times New Roman" w:cs="Times New Roman"/>
                      <w:color w:val="0000FF"/>
                      <w:szCs w:val="21"/>
                    </w:rPr>
                  </w:pPr>
                  <w:r>
                    <w:rPr>
                      <w:rFonts w:hint="eastAsia"/>
                      <w:color w:val="000000"/>
                      <w:szCs w:val="21"/>
                      <w:u w:val="single"/>
                      <w:lang w:val="en-US" w:eastAsia="zh-CN"/>
                    </w:rPr>
                    <w:t>预包装食品销售(含冷藏冷冻食品);散装食品销售(含冷藏冷冻食品,不含熟食);</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 xml:space="preserve">审核范围描述 </w:t>
                  </w:r>
                </w:p>
              </w:tc>
              <w:tc>
                <w:tcPr>
                  <w:tcW w:w="5446" w:type="dxa"/>
                </w:tcPr>
                <w:p>
                  <w:pPr>
                    <w:autoSpaceDE w:val="0"/>
                    <w:autoSpaceDN w:val="0"/>
                    <w:adjustRightInd w:val="0"/>
                    <w:jc w:val="left"/>
                    <w:rPr>
                      <w:rFonts w:hint="default" w:ascii="Times New Roman" w:hAnsi="Times New Roman" w:cs="Times New Roman"/>
                      <w:color w:val="0000FF"/>
                    </w:rPr>
                  </w:pPr>
                  <w:r>
                    <w:t>位于北京市丰台区花乡新发地农工商联合公司院内新发地农产品市场商业街一层71号北京兴迈隆商贸有限公司的预包装食品（含冷藏冷冻食品）、散装食品（含冷藏冷冻食品、不含熟食）销售</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注册地址</w:t>
                  </w:r>
                </w:p>
              </w:tc>
              <w:tc>
                <w:tcPr>
                  <w:tcW w:w="5446" w:type="dxa"/>
                  <w:vAlign w:val="center"/>
                </w:tcPr>
                <w:p>
                  <w:pPr>
                    <w:rPr>
                      <w:rFonts w:cs="Times New Roman" w:asciiTheme="minorEastAsia" w:hAnsiTheme="minorEastAsia" w:eastAsiaTheme="minorEastAsia"/>
                      <w:color w:val="0000FF"/>
                      <w:kern w:val="2"/>
                      <w:sz w:val="20"/>
                      <w:lang w:val="en-US" w:eastAsia="zh-CN" w:bidi="ar-SA"/>
                    </w:rPr>
                  </w:pPr>
                  <w:r>
                    <w:rPr>
                      <w:u w:val="single"/>
                    </w:rPr>
                    <w:t>位于北京市丰台区花乡新发地农工商联合公司院内新发地农产品市场商业街一层71号</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r>
                    <w:rPr>
                      <w:rFonts w:hint="eastAsia"/>
                    </w:rPr>
                    <w:t>经营地址</w:t>
                  </w:r>
                </w:p>
              </w:tc>
              <w:tc>
                <w:tcPr>
                  <w:tcW w:w="5446" w:type="dxa"/>
                  <w:vAlign w:val="center"/>
                </w:tcPr>
                <w:p>
                  <w:pPr>
                    <w:rPr>
                      <w:rFonts w:cs="Times New Roman" w:asciiTheme="minorEastAsia" w:hAnsiTheme="minorEastAsia" w:eastAsiaTheme="minorEastAsia"/>
                      <w:color w:val="0000FF"/>
                      <w:kern w:val="2"/>
                      <w:sz w:val="20"/>
                      <w:lang w:val="en-US" w:eastAsia="zh-CN" w:bidi="ar-SA"/>
                    </w:rPr>
                  </w:pPr>
                  <w:r>
                    <w:rPr>
                      <w:u w:val="single"/>
                    </w:rPr>
                    <w:t>位于北京市丰台区花乡新发地农工商联合公司院内新发地农产品市场商业街一层71号</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多场所</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r>
                    <w:rPr>
                      <w:rFonts w:hint="eastAsia"/>
                      <w:color w:val="0000FF"/>
                      <w:u w:val="single"/>
                      <w:lang w:eastAsia="zh-CN"/>
                    </w:rPr>
                    <w:t>——</w:t>
                  </w:r>
                  <w:r>
                    <w:rPr>
                      <w:rFonts w:hint="eastAsia"/>
                      <w:color w:val="0000FF"/>
                      <w:u w:val="single"/>
                      <w:lang w:val="en-US" w:eastAsia="zh-CN"/>
                    </w:rPr>
                    <w:t>不涉及</w:t>
                  </w:r>
                  <w:r>
                    <w:rPr>
                      <w:rFonts w:hint="eastAsia"/>
                      <w:color w:val="0000FF"/>
                      <w:u w:val="single"/>
                    </w:rPr>
                    <w:t xml:space="preserve">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r>
                    <w:rPr>
                      <w:rFonts w:hint="eastAsia"/>
                      <w:color w:val="0000FF"/>
                      <w:u w:val="single"/>
                      <w:lang w:eastAsia="zh-CN"/>
                    </w:rPr>
                    <w:t>——</w:t>
                  </w:r>
                  <w:r>
                    <w:rPr>
                      <w:rFonts w:hint="eastAsia"/>
                      <w:color w:val="0000FF"/>
                      <w:u w:val="single"/>
                      <w:lang w:val="en-US" w:eastAsia="zh-CN"/>
                    </w:rPr>
                    <w:t>不涉及</w:t>
                  </w:r>
                  <w:r>
                    <w:rPr>
                      <w:rFonts w:hint="eastAsia"/>
                      <w:u w:val="single"/>
                    </w:rPr>
                    <w:t xml:space="preserve">  </w:t>
                  </w:r>
                  <w:r>
                    <w:rPr>
                      <w:u w:val="single"/>
                    </w:rPr>
                    <w:t xml:space="preserve">   </w:t>
                  </w:r>
                  <w:r>
                    <w:rPr>
                      <w:rFonts w:hint="eastAsia"/>
                      <w:u w:val="single"/>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5446" w:type="dxa"/>
                </w:tcPr>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 体系建立以来，</w:t>
                  </w:r>
                  <w:r>
                    <w:rPr>
                      <w:rFonts w:hint="eastAsia"/>
                      <w:color w:val="0000FF"/>
                    </w:rPr>
                    <w:t>2</w:t>
                  </w:r>
                  <w:r>
                    <w:rPr>
                      <w:color w:val="0000FF"/>
                    </w:rPr>
                    <w:t>0</w:t>
                  </w:r>
                  <w:r>
                    <w:rPr>
                      <w:rFonts w:hint="eastAsia"/>
                      <w:color w:val="0000FF"/>
                      <w:lang w:val="en-US" w:eastAsia="zh-CN"/>
                    </w:rPr>
                    <w:t>22.11.1</w:t>
                  </w:r>
                </w:p>
                <w:p>
                  <w:pPr>
                    <w:rPr>
                      <w:rFonts w:hint="default" w:eastAsia="宋体"/>
                      <w:lang w:val="en-US" w:eastAsia="zh-CN"/>
                    </w:rPr>
                  </w:pPr>
                  <w:r>
                    <w:rPr>
                      <w:rFonts w:hint="eastAsia"/>
                    </w:rPr>
                    <w:sym w:font="Wingdings" w:char="00A8"/>
                  </w:r>
                  <w:r>
                    <w:rPr>
                      <w:rFonts w:hint="eastAsia"/>
                      <w:lang w:val="en-US" w:eastAsia="zh-CN"/>
                    </w:rPr>
                    <w:t xml:space="preserve"> 审核周期内未发生变化</w:t>
                  </w:r>
                </w:p>
              </w:tc>
              <w:tc>
                <w:tcPr>
                  <w:tcW w:w="1686" w:type="dxa"/>
                </w:tcPr>
                <w:p/>
              </w:tc>
            </w:tr>
          </w:tbl>
          <w:p/>
          <w:p>
            <w:pPr>
              <w:rPr>
                <w:color w:val="000000"/>
                <w:szCs w:val="21"/>
              </w:rPr>
            </w:pPr>
            <w:r>
              <w:rPr>
                <w:rFonts w:hint="eastAsia"/>
                <w:color w:val="000000"/>
                <w:szCs w:val="21"/>
              </w:rPr>
              <w:t>在企业的管理手册中有描述。</w:t>
            </w:r>
          </w:p>
        </w:tc>
        <w:tc>
          <w:tcPr>
            <w:tcW w:w="159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85" w:type="dxa"/>
            <w:vMerge w:val="restart"/>
            <w:shd w:val="clear" w:color="auto" w:fill="auto"/>
          </w:tcPr>
          <w:p>
            <w:pPr>
              <w:jc w:val="left"/>
            </w:pPr>
            <w:r>
              <w:rPr>
                <w:rFonts w:hint="eastAsia"/>
              </w:rPr>
              <w:t>食品安全管理体系及其过程</w:t>
            </w:r>
          </w:p>
        </w:tc>
        <w:tc>
          <w:tcPr>
            <w:tcW w:w="938" w:type="dxa"/>
            <w:vMerge w:val="restart"/>
            <w:shd w:val="clear" w:color="auto" w:fill="auto"/>
          </w:tcPr>
          <w:p>
            <w:r>
              <w:rPr>
                <w:rFonts w:hint="eastAsia"/>
              </w:rPr>
              <w:t xml:space="preserve"> F4.4 </w:t>
            </w:r>
          </w:p>
        </w:tc>
        <w:tc>
          <w:tcPr>
            <w:tcW w:w="745" w:type="dxa"/>
            <w:gridSpan w:val="2"/>
            <w:shd w:val="clear" w:color="auto" w:fill="auto"/>
          </w:tcPr>
          <w:p>
            <w:r>
              <w:rPr>
                <w:rFonts w:hint="eastAsia"/>
              </w:rPr>
              <w:t>文件名称</w:t>
            </w:r>
          </w:p>
        </w:tc>
        <w:tc>
          <w:tcPr>
            <w:tcW w:w="9249"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管理手册第4.4条款、</w:t>
            </w:r>
            <w:r>
              <w:rPr/>
              <w:sym w:font="Wingdings" w:char="00A8"/>
            </w:r>
            <w:r>
              <w:rPr>
                <w:rFonts w:hint="eastAsia"/>
              </w:rPr>
              <w:t>《过程清单》</w:t>
            </w:r>
          </w:p>
        </w:tc>
        <w:tc>
          <w:tcPr>
            <w:tcW w:w="1597"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85" w:type="dxa"/>
            <w:vMerge w:val="continue"/>
            <w:shd w:val="clear" w:color="auto" w:fill="auto"/>
          </w:tcPr>
          <w:p/>
        </w:tc>
        <w:tc>
          <w:tcPr>
            <w:tcW w:w="938" w:type="dxa"/>
            <w:vMerge w:val="continue"/>
            <w:shd w:val="clear" w:color="auto" w:fill="auto"/>
          </w:tcPr>
          <w:p/>
        </w:tc>
        <w:tc>
          <w:tcPr>
            <w:tcW w:w="745" w:type="dxa"/>
            <w:gridSpan w:val="2"/>
            <w:shd w:val="clear" w:color="auto" w:fill="auto"/>
          </w:tcPr>
          <w:p>
            <w:r>
              <w:rPr>
                <w:rFonts w:hint="eastAsia"/>
              </w:rPr>
              <w:t>运行证据</w:t>
            </w:r>
          </w:p>
        </w:tc>
        <w:tc>
          <w:tcPr>
            <w:tcW w:w="9249" w:type="dxa"/>
            <w:gridSpan w:val="2"/>
            <w:shd w:val="clear" w:color="auto" w:fill="auto"/>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jc w:val="left"/>
            </w:pPr>
          </w:p>
          <w:p>
            <w:pPr>
              <w:spacing w:before="40" w:after="40"/>
              <w:jc w:val="left"/>
            </w:pPr>
            <w:r>
              <w:rPr>
                <w:rFonts w:hint="eastAsia"/>
              </w:rPr>
              <w:t>FSMS：</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t>□特种设备管理 ☑控制措施组合确认  ☑PRP和危害控制措施的效果验证  ☑其他（车辆管理）</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□产品运输 </w:t>
            </w:r>
          </w:p>
          <w:p>
            <w:pPr>
              <w:spacing w:before="40" w:after="40"/>
              <w:jc w:val="left"/>
            </w:pPr>
            <w:r>
              <w:rPr>
                <w:rFonts w:hint="eastAsia"/>
              </w:rPr>
              <w:t>□设备维修   □人员培训 □PRP和OPRP、HACCP验证  ☑其他—无外包</w:t>
            </w:r>
          </w:p>
          <w:p>
            <w:pPr>
              <w:spacing w:before="40" w:after="40"/>
            </w:pPr>
            <w:r>
              <w:rPr>
                <w:rFonts w:hint="eastAsia"/>
              </w:rPr>
              <w:t xml:space="preserve"> </w:t>
            </w:r>
          </w:p>
          <w:p>
            <w:pPr>
              <w:spacing w:before="40" w:after="40"/>
              <w:rPr>
                <w:highlight w:val="cyan"/>
              </w:rPr>
            </w:pPr>
            <w:r>
              <w:rPr>
                <w:rFonts w:hint="eastAsia"/>
                <w:lang w:val="en-GB"/>
              </w:rPr>
              <w:t>组织通过</w:t>
            </w:r>
            <w:r>
              <w:rPr>
                <w:rFonts w:hint="eastAsia"/>
              </w:rPr>
              <w:t>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管理体系覆盖的过程</w:t>
            </w:r>
            <w:r>
              <w:rPr>
                <w:rFonts w:hint="eastAsia"/>
                <w:lang w:val="en-GB"/>
              </w:rPr>
              <w:t>和活动</w:t>
            </w:r>
            <w:r>
              <w:rPr>
                <w:rFonts w:hint="eastAsia"/>
              </w:rPr>
              <w:t>。</w:t>
            </w:r>
          </w:p>
        </w:tc>
        <w:tc>
          <w:tcPr>
            <w:tcW w:w="159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85" w:type="dxa"/>
            <w:vMerge w:val="restart"/>
            <w:shd w:val="clear" w:color="auto" w:fill="auto"/>
          </w:tcPr>
          <w:p>
            <w:r>
              <w:rPr>
                <w:rFonts w:hint="eastAsia"/>
              </w:rPr>
              <w:t>领导作用与承诺</w:t>
            </w:r>
          </w:p>
        </w:tc>
        <w:tc>
          <w:tcPr>
            <w:tcW w:w="938" w:type="dxa"/>
            <w:vMerge w:val="restart"/>
            <w:shd w:val="clear" w:color="auto" w:fill="auto"/>
          </w:tcPr>
          <w:p>
            <w:r>
              <w:rPr>
                <w:rFonts w:hint="eastAsia"/>
              </w:rPr>
              <w:t>F5.1</w:t>
            </w:r>
          </w:p>
        </w:tc>
        <w:tc>
          <w:tcPr>
            <w:tcW w:w="745" w:type="dxa"/>
            <w:gridSpan w:val="2"/>
            <w:shd w:val="clear" w:color="auto" w:fill="auto"/>
          </w:tcPr>
          <w:p>
            <w:r>
              <w:rPr>
                <w:rFonts w:hint="eastAsia"/>
              </w:rPr>
              <w:t>文件名称</w:t>
            </w:r>
          </w:p>
        </w:tc>
        <w:tc>
          <w:tcPr>
            <w:tcW w:w="9249" w:type="dxa"/>
            <w:gridSpan w:val="2"/>
            <w:shd w:val="clear" w:color="auto" w:fill="auto"/>
          </w:tcPr>
          <w:p>
            <w:r>
              <w:rPr>
                <w:rFonts w:hint="eastAsia"/>
              </w:rPr>
              <w:t>如：</w:t>
            </w:r>
            <w:r>
              <w:rPr/>
              <w:sym w:font="Wingdings" w:char="00FE"/>
            </w:r>
            <w:r>
              <w:rPr>
                <w:rFonts w:hint="eastAsia"/>
              </w:rPr>
              <w:t>管理手册第5.1条款  和“0.5各部门及岗位职责”</w:t>
            </w:r>
          </w:p>
        </w:tc>
        <w:tc>
          <w:tcPr>
            <w:tcW w:w="1597"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85" w:type="dxa"/>
            <w:vMerge w:val="continue"/>
            <w:shd w:val="clear" w:color="auto" w:fill="auto"/>
          </w:tcPr>
          <w:p/>
        </w:tc>
        <w:tc>
          <w:tcPr>
            <w:tcW w:w="938" w:type="dxa"/>
            <w:vMerge w:val="continue"/>
            <w:shd w:val="clear" w:color="auto" w:fill="auto"/>
          </w:tcPr>
          <w:p/>
        </w:tc>
        <w:tc>
          <w:tcPr>
            <w:tcW w:w="745" w:type="dxa"/>
            <w:gridSpan w:val="2"/>
            <w:shd w:val="clear" w:color="auto" w:fill="auto"/>
          </w:tcPr>
          <w:p>
            <w:r>
              <w:rPr>
                <w:rFonts w:hint="eastAsia"/>
              </w:rPr>
              <w:t>运行证据</w:t>
            </w:r>
          </w:p>
        </w:tc>
        <w:tc>
          <w:tcPr>
            <w:tcW w:w="9249" w:type="dxa"/>
            <w:gridSpan w:val="2"/>
            <w:shd w:val="clear" w:color="auto" w:fill="auto"/>
          </w:tcPr>
          <w:p>
            <w:pPr>
              <w:rPr>
                <w:color w:val="000000"/>
                <w:szCs w:val="21"/>
              </w:rPr>
            </w:pPr>
            <w:r>
              <w:rPr>
                <w:rFonts w:hint="eastAsia"/>
                <w:color w:val="000000"/>
                <w:szCs w:val="21"/>
              </w:rPr>
              <w:t xml:space="preserve"> 与最高管理者沟通其领导作用与承诺：</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snapToGrid w:val="0"/>
              <w:spacing w:line="240" w:lineRule="atLeast"/>
              <w:rPr>
                <w:rFonts w:ascii="黑体" w:eastAsia="黑体"/>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9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85" w:type="dxa"/>
            <w:vMerge w:val="restart"/>
            <w:shd w:val="clear" w:color="auto" w:fill="auto"/>
          </w:tcPr>
          <w:p>
            <w:r>
              <w:rPr>
                <w:rFonts w:hint="eastAsia"/>
              </w:rPr>
              <w:t>食品安全方针</w:t>
            </w:r>
          </w:p>
        </w:tc>
        <w:tc>
          <w:tcPr>
            <w:tcW w:w="938" w:type="dxa"/>
            <w:vMerge w:val="restart"/>
            <w:shd w:val="clear" w:color="auto" w:fill="auto"/>
          </w:tcPr>
          <w:p>
            <w:r>
              <w:rPr>
                <w:rFonts w:hint="eastAsia"/>
              </w:rPr>
              <w:t>F5.2</w:t>
            </w:r>
          </w:p>
        </w:tc>
        <w:tc>
          <w:tcPr>
            <w:tcW w:w="745" w:type="dxa"/>
            <w:gridSpan w:val="2"/>
            <w:shd w:val="clear" w:color="auto" w:fill="auto"/>
          </w:tcPr>
          <w:p>
            <w:r>
              <w:rPr>
                <w:rFonts w:hint="eastAsia"/>
              </w:rPr>
              <w:t>文件名称</w:t>
            </w:r>
          </w:p>
        </w:tc>
        <w:tc>
          <w:tcPr>
            <w:tcW w:w="9249"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管理手册第5.2条款  和“0.2 食品安全方针、目标”</w:t>
            </w:r>
          </w:p>
        </w:tc>
        <w:tc>
          <w:tcPr>
            <w:tcW w:w="1597"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4" w:hRule="atLeast"/>
        </w:trPr>
        <w:tc>
          <w:tcPr>
            <w:tcW w:w="2185" w:type="dxa"/>
            <w:vMerge w:val="continue"/>
            <w:shd w:val="clear" w:color="auto" w:fill="auto"/>
          </w:tcPr>
          <w:p/>
        </w:tc>
        <w:tc>
          <w:tcPr>
            <w:tcW w:w="938" w:type="dxa"/>
            <w:vMerge w:val="continue"/>
            <w:shd w:val="clear" w:color="auto" w:fill="auto"/>
          </w:tcPr>
          <w:p/>
        </w:tc>
        <w:tc>
          <w:tcPr>
            <w:tcW w:w="745" w:type="dxa"/>
            <w:gridSpan w:val="2"/>
            <w:shd w:val="clear" w:color="auto" w:fill="auto"/>
          </w:tcPr>
          <w:p>
            <w:r>
              <w:rPr>
                <w:rFonts w:hint="eastAsia"/>
              </w:rPr>
              <w:t>运行证据</w:t>
            </w:r>
          </w:p>
        </w:tc>
        <w:tc>
          <w:tcPr>
            <w:tcW w:w="9249" w:type="dxa"/>
            <w:gridSpan w:val="2"/>
            <w:shd w:val="clear" w:color="auto" w:fill="auto"/>
          </w:tcPr>
          <w:p>
            <w:pPr>
              <w:rPr>
                <w:u w:val="single"/>
              </w:rPr>
            </w:pPr>
            <w:r>
              <w:rPr>
                <w:rFonts w:hint="eastAsia"/>
                <w:color w:val="000000"/>
                <w:szCs w:val="21"/>
              </w:rPr>
              <w:t xml:space="preserve"> </w:t>
            </w:r>
            <w:r>
              <w:rPr>
                <w:rFonts w:hint="eastAsia"/>
              </w:rPr>
              <w:t>最高管理者制定了文件化的管理体系方针：</w:t>
            </w:r>
          </w:p>
          <w:p>
            <w:pPr>
              <w:widowControl/>
              <w:spacing w:before="40"/>
              <w:jc w:val="left"/>
              <w:rPr>
                <w:rFonts w:hint="eastAsia"/>
                <w:color w:val="000000"/>
                <w:szCs w:val="18"/>
                <w:u w:val="single"/>
              </w:rPr>
            </w:pPr>
            <w:r>
              <w:rPr>
                <w:rFonts w:hint="eastAsia"/>
                <w:color w:val="000000"/>
                <w:szCs w:val="18"/>
                <w:u w:val="single"/>
              </w:rPr>
              <w:t>严守法律底线、确保食品安全、改进管理效率、顾客持续满意</w:t>
            </w:r>
          </w:p>
          <w:p>
            <w:pPr>
              <w:widowControl/>
              <w:spacing w:before="40"/>
              <w:jc w:val="left"/>
              <w:rPr>
                <w:b/>
                <w:bCs/>
                <w:u w:val="single"/>
              </w:rPr>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适应组织的宗旨和环境并支持其战略方向</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包括满足适用要求的承诺； </w:t>
            </w:r>
          </w:p>
          <w:p>
            <w:r>
              <w:rPr>
                <w:rFonts w:hint="eastAsia"/>
              </w:rPr>
              <w:t>☑包括满足适用食品安全要求的承诺，包括立法/执法要求和顾客的相互同意的食品安全要求（FSMS）</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包括持续改进质量管理体系的承诺</w:t>
            </w:r>
          </w:p>
          <w:p>
            <w:r>
              <w:rPr>
                <w:rFonts w:hint="eastAsia"/>
              </w:rPr>
              <w:t>☑应对内部和外部沟通（FSMS）</w:t>
            </w:r>
          </w:p>
          <w:p>
            <w:r>
              <w:rPr>
                <w:rFonts w:hint="eastAsia"/>
              </w:rPr>
              <w:t>☑解决需求确保食品安全相关的能力（FSMS）</w:t>
            </w:r>
          </w:p>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展板  </w:t>
            </w:r>
            <w:r>
              <w:rPr>
                <w:rFonts w:hint="eastAsia"/>
              </w:rPr>
              <w:sym w:font="Wingdings" w:char="00A8"/>
            </w:r>
            <w:r>
              <w:rPr>
                <w:rFonts w:hint="eastAsia"/>
              </w:rPr>
              <w:t xml:space="preserve">标语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会议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文件发放   </w:t>
            </w:r>
            <w:r>
              <w:rPr>
                <w:rFonts w:hint="eastAsia"/>
              </w:rPr>
              <w:sym w:font="Wingdings" w:char="00A8"/>
            </w:r>
            <w:r>
              <w:rPr>
                <w:rFonts w:hint="eastAsia"/>
              </w:rPr>
              <w:t xml:space="preserve">其他  </w:t>
            </w:r>
          </w:p>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在相关方有需要时提供。通过：</w:t>
            </w:r>
            <w:r>
              <w:rPr>
                <w:rFonts w:hint="eastAsia"/>
              </w:rPr>
              <w:sym w:font="Wingdings" w:char="00A8"/>
            </w:r>
            <w:r>
              <w:rPr>
                <w:rFonts w:hint="eastAsia"/>
              </w:rPr>
              <w:t xml:space="preserve">网站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宣传册 </w:t>
            </w:r>
            <w:r>
              <w:rPr>
                <w:rFonts w:hint="eastAsia"/>
              </w:rPr>
              <w:sym w:font="Wingdings" w:char="00FE"/>
            </w:r>
            <w:r>
              <w:rPr>
                <w:rFonts w:hint="eastAsia"/>
              </w:rPr>
              <w:t>其他</w:t>
            </w:r>
            <w:r>
              <w:rPr>
                <w:rFonts w:hint="eastAsia"/>
                <w:lang w:val="en-US" w:eastAsia="zh-CN"/>
              </w:rPr>
              <w:t>-投标书</w:t>
            </w:r>
          </w:p>
        </w:tc>
        <w:tc>
          <w:tcPr>
            <w:tcW w:w="159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85" w:type="dxa"/>
            <w:vMerge w:val="restart"/>
            <w:shd w:val="clear" w:color="auto" w:fill="auto"/>
          </w:tcPr>
          <w:p>
            <w:r>
              <w:rPr>
                <w:rFonts w:hint="eastAsia"/>
              </w:rPr>
              <w:t>组织的岗位、职责和权限</w:t>
            </w:r>
          </w:p>
          <w:p/>
        </w:tc>
        <w:tc>
          <w:tcPr>
            <w:tcW w:w="938" w:type="dxa"/>
            <w:vMerge w:val="restart"/>
            <w:shd w:val="clear" w:color="auto" w:fill="auto"/>
          </w:tcPr>
          <w:p>
            <w:r>
              <w:rPr>
                <w:rFonts w:hint="eastAsia"/>
              </w:rPr>
              <w:t>F5.3</w:t>
            </w:r>
          </w:p>
        </w:tc>
        <w:tc>
          <w:tcPr>
            <w:tcW w:w="745" w:type="dxa"/>
            <w:gridSpan w:val="2"/>
            <w:shd w:val="clear" w:color="auto" w:fill="auto"/>
          </w:tcPr>
          <w:p>
            <w:r>
              <w:rPr>
                <w:rFonts w:hint="eastAsia"/>
              </w:rPr>
              <w:t>文件名称</w:t>
            </w:r>
          </w:p>
        </w:tc>
        <w:tc>
          <w:tcPr>
            <w:tcW w:w="9249"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管理手册第5.3条款和“</w:t>
            </w:r>
            <w:r>
              <w:rPr>
                <w:rFonts w:hint="eastAsia"/>
                <w:lang w:val="en-US" w:eastAsia="zh-CN"/>
              </w:rPr>
              <w:t xml:space="preserve">11.1 </w:t>
            </w:r>
            <w:r>
              <w:rPr>
                <w:rFonts w:hint="eastAsia"/>
              </w:rPr>
              <w:t>职能分配表”</w:t>
            </w:r>
          </w:p>
        </w:tc>
        <w:tc>
          <w:tcPr>
            <w:tcW w:w="1597"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2185" w:type="dxa"/>
            <w:vMerge w:val="continue"/>
            <w:shd w:val="clear" w:color="auto" w:fill="auto"/>
          </w:tcPr>
          <w:p/>
        </w:tc>
        <w:tc>
          <w:tcPr>
            <w:tcW w:w="938" w:type="dxa"/>
            <w:vMerge w:val="continue"/>
            <w:shd w:val="clear" w:color="auto" w:fill="auto"/>
          </w:tcPr>
          <w:p/>
        </w:tc>
        <w:tc>
          <w:tcPr>
            <w:tcW w:w="745" w:type="dxa"/>
            <w:gridSpan w:val="2"/>
            <w:shd w:val="clear" w:color="auto" w:fill="auto"/>
          </w:tcPr>
          <w:p>
            <w:r>
              <w:rPr>
                <w:rFonts w:hint="eastAsia"/>
              </w:rPr>
              <w:t>运行证据</w:t>
            </w:r>
          </w:p>
        </w:tc>
        <w:tc>
          <w:tcPr>
            <w:tcW w:w="9249" w:type="dxa"/>
            <w:gridSpan w:val="2"/>
            <w:shd w:val="clear" w:color="auto" w:fill="auto"/>
          </w:tcPr>
          <w:p>
            <w:r>
              <w:rPr>
                <w:rFonts w:hint="eastAsia"/>
              </w:rPr>
              <w:t>最高管理者确定了组织架构及相关岗位的职责、权限，并进行了全员的沟通和理解；</w:t>
            </w:r>
          </w:p>
          <w:p>
            <w:r>
              <w:rPr>
                <w:rFonts w:hint="eastAsia"/>
              </w:rPr>
              <w:t>如：</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8"/>
              <w:gridCol w:w="1483"/>
              <w:gridCol w:w="2430"/>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tcPr>
                <w:p>
                  <w:r>
                    <w:rPr>
                      <w:rFonts w:hint="eastAsia"/>
                    </w:rPr>
                    <w:t>过程名称</w:t>
                  </w:r>
                </w:p>
              </w:tc>
              <w:tc>
                <w:tcPr>
                  <w:tcW w:w="1483" w:type="dxa"/>
                </w:tcPr>
                <w:p>
                  <w:r>
                    <w:rPr>
                      <w:rFonts w:hint="eastAsia"/>
                    </w:rPr>
                    <w:t>主管部门名称</w:t>
                  </w:r>
                </w:p>
              </w:tc>
              <w:tc>
                <w:tcPr>
                  <w:tcW w:w="2430" w:type="dxa"/>
                </w:tcPr>
                <w:p>
                  <w:r>
                    <w:rPr>
                      <w:rFonts w:hint="eastAsia"/>
                    </w:rPr>
                    <w:t>过程名称</w:t>
                  </w:r>
                </w:p>
              </w:tc>
              <w:tc>
                <w:tcPr>
                  <w:tcW w:w="2092"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038" w:type="dxa"/>
                </w:tcPr>
                <w:p>
                  <w:r>
                    <w:rPr>
                      <w:rFonts w:hint="eastAsia"/>
                    </w:rPr>
                    <w:t>食品安全管理体系策划和推动</w:t>
                  </w:r>
                </w:p>
              </w:tc>
              <w:tc>
                <w:tcPr>
                  <w:tcW w:w="1483" w:type="dxa"/>
                </w:tcPr>
                <w:p>
                  <w:r>
                    <w:rPr>
                      <w:rFonts w:hint="eastAsia"/>
                    </w:rPr>
                    <w:t>食品安全小组</w:t>
                  </w:r>
                </w:p>
              </w:tc>
              <w:tc>
                <w:tcPr>
                  <w:tcW w:w="2430" w:type="dxa"/>
                </w:tcPr>
                <w:p>
                  <w:r>
                    <w:rPr>
                      <w:rFonts w:hint="eastAsia"/>
                    </w:rPr>
                    <w:t>OPRP和HACCP的实施</w:t>
                  </w:r>
                </w:p>
              </w:tc>
              <w:tc>
                <w:tcPr>
                  <w:tcW w:w="2092" w:type="dxa"/>
                </w:tcPr>
                <w:p>
                  <w:pPr>
                    <w:rPr>
                      <w:rFonts w:hint="eastAsia" w:eastAsia="宋体"/>
                      <w:lang w:val="en-US" w:eastAsia="zh-CN"/>
                    </w:rPr>
                  </w:pPr>
                  <w:r>
                    <w:rPr>
                      <w:rFonts w:hint="eastAsia"/>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tcPr>
                <w:p>
                  <w:r>
                    <w:rPr>
                      <w:rFonts w:hint="eastAsia"/>
                    </w:rPr>
                    <w:t>采购控制</w:t>
                  </w:r>
                </w:p>
              </w:tc>
              <w:tc>
                <w:tcPr>
                  <w:tcW w:w="1483" w:type="dxa"/>
                </w:tcPr>
                <w:p>
                  <w:pPr>
                    <w:rPr>
                      <w:rFonts w:hint="default" w:eastAsia="宋体"/>
                      <w:lang w:val="en-US" w:eastAsia="zh-CN"/>
                    </w:rPr>
                  </w:pPr>
                  <w:r>
                    <w:rPr>
                      <w:rFonts w:hint="eastAsia"/>
                      <w:lang w:val="en-US" w:eastAsia="zh-CN"/>
                    </w:rPr>
                    <w:t>销售部</w:t>
                  </w:r>
                </w:p>
              </w:tc>
              <w:tc>
                <w:tcPr>
                  <w:tcW w:w="2430" w:type="dxa"/>
                </w:tcPr>
                <w:p>
                  <w:r>
                    <w:rPr>
                      <w:rFonts w:hint="eastAsia"/>
                    </w:rPr>
                    <w:t>FSMS验证和确认</w:t>
                  </w:r>
                </w:p>
              </w:tc>
              <w:tc>
                <w:tcPr>
                  <w:tcW w:w="2092"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tcPr>
                <w:p>
                  <w:r>
                    <w:rPr>
                      <w:rFonts w:hint="eastAsia"/>
                    </w:rPr>
                    <w:t>人员健康</w:t>
                  </w:r>
                </w:p>
              </w:tc>
              <w:tc>
                <w:tcPr>
                  <w:tcW w:w="1483" w:type="dxa"/>
                </w:tcPr>
                <w:p>
                  <w:pPr>
                    <w:rPr>
                      <w:rFonts w:hint="eastAsia" w:eastAsia="宋体"/>
                      <w:lang w:eastAsia="zh-CN"/>
                    </w:rPr>
                  </w:pPr>
                  <w:r>
                    <w:rPr>
                      <w:rFonts w:hint="eastAsia"/>
                      <w:lang w:val="en-US" w:eastAsia="zh-CN"/>
                    </w:rPr>
                    <w:t>综合部</w:t>
                  </w:r>
                </w:p>
              </w:tc>
              <w:tc>
                <w:tcPr>
                  <w:tcW w:w="2430" w:type="dxa"/>
                </w:tcPr>
                <w:p>
                  <w:r>
                    <w:rPr>
                      <w:rFonts w:hint="eastAsia"/>
                    </w:rPr>
                    <w:t>监视和测量控制</w:t>
                  </w:r>
                </w:p>
              </w:tc>
              <w:tc>
                <w:tcPr>
                  <w:tcW w:w="2092" w:type="dxa"/>
                </w:tcPr>
                <w:p>
                  <w:r>
                    <w:rPr>
                      <w:rFonts w:hint="eastAsia"/>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38" w:type="dxa"/>
                </w:tcPr>
                <w:p/>
              </w:tc>
              <w:tc>
                <w:tcPr>
                  <w:tcW w:w="1483" w:type="dxa"/>
                </w:tcPr>
                <w:p/>
              </w:tc>
              <w:tc>
                <w:tcPr>
                  <w:tcW w:w="2430" w:type="dxa"/>
                </w:tcPr>
                <w:p/>
              </w:tc>
              <w:tc>
                <w:tcPr>
                  <w:tcW w:w="2092" w:type="dxa"/>
                </w:tcPr>
                <w:p/>
              </w:tc>
            </w:tr>
          </w:tbl>
          <w:p/>
        </w:tc>
        <w:tc>
          <w:tcPr>
            <w:tcW w:w="159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3" w:hRule="atLeast"/>
        </w:trPr>
        <w:tc>
          <w:tcPr>
            <w:tcW w:w="2185" w:type="dxa"/>
            <w:shd w:val="clear" w:color="auto" w:fill="auto"/>
          </w:tcPr>
          <w:p/>
        </w:tc>
        <w:tc>
          <w:tcPr>
            <w:tcW w:w="938" w:type="dxa"/>
            <w:shd w:val="clear" w:color="auto" w:fill="auto"/>
          </w:tcPr>
          <w:p/>
        </w:tc>
        <w:tc>
          <w:tcPr>
            <w:tcW w:w="745" w:type="dxa"/>
            <w:gridSpan w:val="2"/>
            <w:shd w:val="clear" w:color="auto" w:fill="auto"/>
          </w:tcPr>
          <w:p/>
        </w:tc>
        <w:tc>
          <w:tcPr>
            <w:tcW w:w="9249" w:type="dxa"/>
            <w:gridSpan w:val="2"/>
            <w:shd w:val="clear" w:color="auto" w:fill="auto"/>
          </w:tcPr>
          <w:p>
            <w:pPr>
              <w:rPr>
                <w:rFonts w:hint="default" w:eastAsia="宋体"/>
                <w:lang w:val="en-US" w:eastAsia="zh-CN"/>
              </w:rPr>
            </w:pPr>
            <w:r>
              <w:rPr>
                <w:rFonts w:hint="eastAsia"/>
              </w:rPr>
              <w:sym w:font="Wingdings" w:char="00FE"/>
            </w:r>
            <w:r>
              <w:rPr>
                <w:rFonts w:hint="eastAsia"/>
              </w:rPr>
              <w:t>食品安全小组组长：</w:t>
            </w:r>
            <w:r>
              <w:rPr>
                <w:rFonts w:hint="eastAsia"/>
                <w:u w:val="single"/>
              </w:rPr>
              <w:t xml:space="preserve"> </w:t>
            </w:r>
            <w:r>
              <w:rPr>
                <w:rFonts w:hint="eastAsia"/>
                <w:u w:val="single"/>
                <w:lang w:val="en-US" w:eastAsia="zh-CN"/>
              </w:rPr>
              <w:t xml:space="preserve">郭敬先生 </w:t>
            </w:r>
          </w:p>
          <w:p>
            <w:r>
              <w:t>食品安全组长负责：</w:t>
            </w:r>
          </w:p>
          <w:p>
            <w:r>
              <w:rPr>
                <w:rFonts w:hint="eastAsia"/>
              </w:rPr>
              <w:sym w:font="Wingdings" w:char="00FE"/>
            </w:r>
            <w:r>
              <w:rPr>
                <w:rFonts w:hint="eastAsia"/>
              </w:rPr>
              <w:t xml:space="preserve">  </w:t>
            </w:r>
            <w:r>
              <w:t>确保FSMS的建立、实施、维护和更新；</w:t>
            </w:r>
          </w:p>
          <w:p>
            <w:r>
              <w:rPr>
                <w:rFonts w:hint="eastAsia"/>
              </w:rPr>
              <w:sym w:font="Wingdings" w:char="00FE"/>
            </w:r>
            <w:r>
              <w:rPr>
                <w:rFonts w:hint="eastAsia"/>
              </w:rPr>
              <w:t xml:space="preserve">  </w:t>
            </w:r>
            <w:r>
              <w:t>管理和组织食品安全小组的工作；</w:t>
            </w:r>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向最高管理层报告FSMS的有效性和适宜性。</w:t>
            </w:r>
          </w:p>
          <w:p/>
          <w:p>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r>
              <w:rPr>
                <w:rFonts w:hint="eastAsia"/>
              </w:rPr>
              <w:t>。</w:t>
            </w:r>
          </w:p>
        </w:tc>
        <w:tc>
          <w:tcPr>
            <w:tcW w:w="1597" w:type="dxa"/>
            <w:gridSpan w:val="2"/>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85" w:type="dxa"/>
            <w:vMerge w:val="restart"/>
            <w:shd w:val="clear" w:color="auto" w:fill="auto"/>
          </w:tcPr>
          <w:p>
            <w:pPr>
              <w:rPr>
                <w:color w:val="000000"/>
                <w:szCs w:val="21"/>
              </w:rPr>
            </w:pPr>
            <w:r>
              <w:rPr>
                <w:rFonts w:hint="eastAsia"/>
                <w:color w:val="000000"/>
                <w:szCs w:val="21"/>
              </w:rPr>
              <w:t>应对风险和机遇的措施</w:t>
            </w:r>
          </w:p>
          <w:p/>
        </w:tc>
        <w:tc>
          <w:tcPr>
            <w:tcW w:w="938" w:type="dxa"/>
            <w:vMerge w:val="restart"/>
            <w:shd w:val="clear" w:color="auto" w:fill="auto"/>
          </w:tcPr>
          <w:p>
            <w:r>
              <w:rPr>
                <w:rFonts w:hint="eastAsia"/>
                <w:color w:val="000000"/>
                <w:szCs w:val="21"/>
              </w:rPr>
              <w:t>F6.1.1</w:t>
            </w:r>
          </w:p>
        </w:tc>
        <w:tc>
          <w:tcPr>
            <w:tcW w:w="745" w:type="dxa"/>
            <w:gridSpan w:val="2"/>
            <w:shd w:val="clear" w:color="auto" w:fill="auto"/>
          </w:tcPr>
          <w:p>
            <w:r>
              <w:rPr>
                <w:rFonts w:hint="eastAsia"/>
              </w:rPr>
              <w:t>文件名称</w:t>
            </w:r>
          </w:p>
        </w:tc>
        <w:tc>
          <w:tcPr>
            <w:tcW w:w="9249" w:type="dxa"/>
            <w:gridSpan w:val="2"/>
            <w:shd w:val="clear" w:color="auto" w:fill="auto"/>
          </w:tcPr>
          <w:p>
            <w:r>
              <w:rPr>
                <w:rFonts w:hint="eastAsia"/>
              </w:rPr>
              <w:t>如：</w:t>
            </w:r>
            <w:r>
              <w:rPr>
                <w:rFonts w:hint="eastAsia"/>
              </w:rPr>
              <w:sym w:font="Wingdings" w:char="00FE"/>
            </w:r>
            <w:r>
              <w:rPr>
                <w:rFonts w:hint="eastAsia"/>
              </w:rPr>
              <w:t>管理手册第6.1条款、</w:t>
            </w:r>
            <w:r>
              <w:rPr>
                <w:rFonts w:hint="eastAsia"/>
              </w:rPr>
              <w:sym w:font="Wingdings" w:char="00A8"/>
            </w:r>
            <w:r>
              <w:rPr>
                <w:rFonts w:hint="eastAsia"/>
              </w:rPr>
              <w:t>《</w:t>
            </w:r>
            <w:r>
              <w:rPr>
                <w:rFonts w:hint="eastAsia"/>
                <w:color w:val="000000"/>
                <w:szCs w:val="21"/>
              </w:rPr>
              <w:t>风险和机遇</w:t>
            </w:r>
            <w:r>
              <w:rPr>
                <w:rFonts w:hint="eastAsia"/>
              </w:rPr>
              <w:t>控制程序》</w:t>
            </w:r>
          </w:p>
        </w:tc>
        <w:tc>
          <w:tcPr>
            <w:tcW w:w="1597"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7" w:hRule="atLeast"/>
        </w:trPr>
        <w:tc>
          <w:tcPr>
            <w:tcW w:w="2185" w:type="dxa"/>
            <w:vMerge w:val="continue"/>
            <w:shd w:val="clear" w:color="auto" w:fill="auto"/>
          </w:tcPr>
          <w:p/>
        </w:tc>
        <w:tc>
          <w:tcPr>
            <w:tcW w:w="938" w:type="dxa"/>
            <w:vMerge w:val="continue"/>
            <w:shd w:val="clear" w:color="auto" w:fill="auto"/>
          </w:tcPr>
          <w:p/>
        </w:tc>
        <w:tc>
          <w:tcPr>
            <w:tcW w:w="745" w:type="dxa"/>
            <w:gridSpan w:val="2"/>
            <w:shd w:val="clear" w:color="auto" w:fill="auto"/>
          </w:tcPr>
          <w:p>
            <w:r>
              <w:rPr>
                <w:rFonts w:hint="eastAsia"/>
              </w:rPr>
              <w:t>运行证据</w:t>
            </w:r>
          </w:p>
        </w:tc>
        <w:tc>
          <w:tcPr>
            <w:tcW w:w="9249" w:type="dxa"/>
            <w:gridSpan w:val="2"/>
            <w:shd w:val="clear" w:color="auto" w:fill="auto"/>
          </w:tcPr>
          <w:p>
            <w:r>
              <w:rPr>
                <w:rFonts w:hint="eastAsia"/>
              </w:rPr>
              <w:t>分析风险的方法：</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规避风险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为寻求机遇承担风险、</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消除风险源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改变风险的可能性和后果、</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分担风险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通过信息充分的决策而保留风险 </w:t>
            </w:r>
            <w:r>
              <w:rPr>
                <w:rFonts w:hint="eastAsia"/>
              </w:rPr>
              <w:sym w:font="Wingdings" w:char="00A8"/>
            </w:r>
            <w:r>
              <w:rPr>
                <w:rFonts w:hint="eastAsia"/>
              </w:rPr>
              <w:t>其他</w:t>
            </w:r>
          </w:p>
          <w:p/>
          <w:p>
            <w:r>
              <w:rPr>
                <w:rFonts w:hint="eastAsia"/>
              </w:rPr>
              <w:t xml:space="preserve">列举2~3项应对主要风险的描述：         </w:t>
            </w:r>
          </w:p>
          <w:tbl>
            <w:tblPr>
              <w:tblStyle w:val="11"/>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6"/>
              <w:gridCol w:w="3799"/>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highlight w:val="none"/>
                    </w:rPr>
                  </w:pPr>
                  <w:r>
                    <w:rPr>
                      <w:rFonts w:hint="eastAsia"/>
                      <w:highlight w:val="none"/>
                    </w:rPr>
                    <w:t>主要的风险描述</w:t>
                  </w:r>
                </w:p>
              </w:tc>
              <w:tc>
                <w:tcPr>
                  <w:tcW w:w="3799"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vAlign w:val="center"/>
                </w:tcPr>
                <w:p>
                  <w:pPr>
                    <w:widowControl/>
                    <w:spacing w:line="360" w:lineRule="exact"/>
                    <w:jc w:val="left"/>
                    <w:textAlignment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配送不及时，引起客户投诉</w:t>
                  </w:r>
                </w:p>
              </w:tc>
              <w:tc>
                <w:tcPr>
                  <w:tcW w:w="3799" w:type="dxa"/>
                </w:tcPr>
                <w:p>
                  <w:pPr>
                    <w:pStyle w:val="9"/>
                    <w:numPr>
                      <w:ilvl w:val="0"/>
                      <w:numId w:val="1"/>
                    </w:numPr>
                    <w:ind w:left="-420" w:leftChars="0" w:firstLineChars="0"/>
                    <w:rPr>
                      <w:rFonts w:hint="eastAsia"/>
                      <w:highlight w:val="none"/>
                      <w:lang w:val="en-US" w:eastAsia="zh-CN"/>
                    </w:rPr>
                  </w:pPr>
                  <w:r>
                    <w:rPr>
                      <w:rFonts w:hint="eastAsia"/>
                      <w:highlight w:val="none"/>
                      <w:lang w:val="en-US" w:eastAsia="zh-CN"/>
                    </w:rPr>
                    <w:t>合理安排配送路线，提前配货；</w:t>
                  </w:r>
                </w:p>
                <w:p>
                  <w:pPr>
                    <w:pStyle w:val="9"/>
                    <w:numPr>
                      <w:ilvl w:val="0"/>
                      <w:numId w:val="1"/>
                    </w:numPr>
                    <w:ind w:left="-420" w:leftChars="0" w:firstLineChars="0"/>
                    <w:rPr>
                      <w:rFonts w:hint="default"/>
                      <w:highlight w:val="none"/>
                      <w:lang w:val="en-US" w:eastAsia="zh-CN"/>
                    </w:rPr>
                  </w:pPr>
                  <w:r>
                    <w:rPr>
                      <w:rFonts w:hint="eastAsia"/>
                      <w:highlight w:val="none"/>
                      <w:lang w:val="en-US" w:eastAsia="zh-CN"/>
                    </w:rPr>
                    <w:t>定期调查顾客满意度；</w:t>
                  </w:r>
                </w:p>
                <w:p>
                  <w:pPr>
                    <w:pStyle w:val="9"/>
                    <w:numPr>
                      <w:ilvl w:val="0"/>
                      <w:numId w:val="1"/>
                    </w:numPr>
                    <w:ind w:left="-420" w:leftChars="0" w:firstLineChars="0"/>
                    <w:rPr>
                      <w:rFonts w:hint="default"/>
                      <w:highlight w:val="none"/>
                      <w:lang w:val="en-US" w:eastAsia="zh-CN"/>
                    </w:rPr>
                  </w:pPr>
                  <w:r>
                    <w:rPr>
                      <w:rFonts w:hint="eastAsia"/>
                      <w:highlight w:val="none"/>
                      <w:lang w:val="en-US" w:eastAsia="zh-CN"/>
                    </w:rPr>
                    <w:t>及时沟通客户订单，确保配送及时</w:t>
                  </w:r>
                </w:p>
                <w:p>
                  <w:pPr>
                    <w:pStyle w:val="9"/>
                    <w:numPr>
                      <w:ilvl w:val="0"/>
                      <w:numId w:val="0"/>
                    </w:numPr>
                    <w:ind w:leftChars="0"/>
                    <w:rPr>
                      <w:rFonts w:hint="default"/>
                      <w:highlight w:val="none"/>
                      <w:lang w:val="en-US" w:eastAsia="zh-CN"/>
                    </w:rPr>
                  </w:pPr>
                  <w:r>
                    <w:rPr>
                      <w:rFonts w:hint="eastAsia"/>
                      <w:highlight w:val="none"/>
                      <w:lang w:val="en-US" w:eastAsia="zh-CN"/>
                    </w:rPr>
                    <w:t>有效</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hint="default" w:asciiTheme="minorEastAsia" w:hAnsiTheme="minorEastAsia" w:eastAsiaTheme="minorEastAsia"/>
                      <w:szCs w:val="21"/>
                      <w:highlight w:val="yellow"/>
                      <w:lang w:val="en-US" w:eastAsia="zh-CN"/>
                    </w:rPr>
                  </w:pPr>
                  <w:r>
                    <w:rPr>
                      <w:rFonts w:hint="eastAsia" w:asciiTheme="minorEastAsia" w:hAnsiTheme="minorEastAsia" w:eastAsiaTheme="minorEastAsia"/>
                      <w:szCs w:val="21"/>
                      <w:highlight w:val="none"/>
                      <w:lang w:val="en-US" w:eastAsia="zh-CN"/>
                    </w:rPr>
                    <w:t>供应商管理不到位，采购的产品出现食品安全问题，导致食品安全事故的发生</w:t>
                  </w:r>
                </w:p>
              </w:tc>
              <w:tc>
                <w:tcPr>
                  <w:tcW w:w="3799" w:type="dxa"/>
                </w:tcPr>
                <w:p>
                  <w:pPr>
                    <w:pStyle w:val="9"/>
                    <w:numPr>
                      <w:ilvl w:val="0"/>
                      <w:numId w:val="0"/>
                    </w:numPr>
                    <w:jc w:val="left"/>
                    <w:rPr>
                      <w:rFonts w:hint="eastAsia"/>
                      <w:highlight w:val="none"/>
                      <w:lang w:val="en-US" w:eastAsia="zh-CN"/>
                    </w:rPr>
                  </w:pPr>
                  <w:r>
                    <w:rPr>
                      <w:rFonts w:hint="eastAsia"/>
                      <w:highlight w:val="none"/>
                      <w:lang w:val="en-US" w:eastAsia="zh-CN"/>
                    </w:rPr>
                    <w:t>1）通过合格供方进行管理；</w:t>
                  </w:r>
                </w:p>
                <w:p>
                  <w:pPr>
                    <w:pStyle w:val="9"/>
                    <w:numPr>
                      <w:ilvl w:val="0"/>
                      <w:numId w:val="0"/>
                    </w:numPr>
                    <w:rPr>
                      <w:rFonts w:hint="eastAsia"/>
                      <w:highlight w:val="none"/>
                      <w:lang w:val="en-US" w:eastAsia="zh-CN"/>
                    </w:rPr>
                  </w:pPr>
                  <w:r>
                    <w:rPr>
                      <w:rFonts w:hint="eastAsia"/>
                      <w:highlight w:val="none"/>
                      <w:lang w:val="en-US" w:eastAsia="zh-CN"/>
                    </w:rPr>
                    <w:t>2）每年评价供方；</w:t>
                  </w:r>
                </w:p>
                <w:p>
                  <w:pPr>
                    <w:pStyle w:val="9"/>
                    <w:numPr>
                      <w:ilvl w:val="0"/>
                      <w:numId w:val="0"/>
                    </w:numPr>
                    <w:rPr>
                      <w:rFonts w:hint="eastAsia"/>
                      <w:highlight w:val="none"/>
                      <w:lang w:val="en-US" w:eastAsia="zh-CN"/>
                    </w:rPr>
                  </w:pPr>
                  <w:r>
                    <w:rPr>
                      <w:rFonts w:hint="eastAsia"/>
                      <w:highlight w:val="none"/>
                      <w:lang w:val="en-US" w:eastAsia="zh-CN"/>
                    </w:rPr>
                    <w:t>3）必要时到供方现场评价</w:t>
                  </w:r>
                </w:p>
                <w:p>
                  <w:pPr>
                    <w:pStyle w:val="9"/>
                    <w:numPr>
                      <w:ilvl w:val="0"/>
                      <w:numId w:val="0"/>
                    </w:numPr>
                    <w:rPr>
                      <w:rFonts w:hint="default"/>
                      <w:highlight w:val="none"/>
                      <w:lang w:val="en-US" w:eastAsia="zh-CN"/>
                    </w:rPr>
                  </w:pPr>
                  <w:r>
                    <w:rPr>
                      <w:rFonts w:hint="eastAsia"/>
                      <w:highlight w:val="none"/>
                      <w:lang w:val="en-US" w:eastAsia="zh-CN"/>
                    </w:rPr>
                    <w:t>4）定期进行食品安全事故应急演练，组织人员进行培训</w:t>
                  </w:r>
                </w:p>
              </w:tc>
              <w:tc>
                <w:tcPr>
                  <w:tcW w:w="1717" w:type="dxa"/>
                </w:tcPr>
                <w:p>
                  <w:pPr>
                    <w:rPr>
                      <w:highlight w:val="yellow"/>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szCs w:val="24"/>
                      <w:highlight w:val="yellow"/>
                    </w:rPr>
                  </w:pPr>
                </w:p>
              </w:tc>
              <w:tc>
                <w:tcPr>
                  <w:tcW w:w="3799" w:type="dxa"/>
                </w:tcPr>
                <w:p>
                  <w:pPr>
                    <w:snapToGrid w:val="0"/>
                    <w:spacing w:line="360" w:lineRule="exact"/>
                    <w:jc w:val="left"/>
                    <w:rPr>
                      <w:rFonts w:ascii="宋体" w:hAnsi="宋体" w:cs="宋体"/>
                      <w:szCs w:val="21"/>
                      <w:highlight w:val="yellow"/>
                    </w:rPr>
                  </w:pPr>
                </w:p>
              </w:tc>
              <w:tc>
                <w:tcPr>
                  <w:tcW w:w="1717" w:type="dxa"/>
                </w:tcPr>
                <w:p>
                  <w:pPr>
                    <w:rPr>
                      <w:highlight w:val="yellow"/>
                    </w:rPr>
                  </w:pPr>
                </w:p>
              </w:tc>
            </w:tr>
          </w:tbl>
          <w:p/>
          <w:p>
            <w:r>
              <w:rPr>
                <w:rFonts w:hint="eastAsia"/>
              </w:rPr>
              <w:t xml:space="preserve">应对机遇的措施类型包括：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采用新实践 </w:t>
            </w:r>
            <w:r>
              <w:rPr>
                <w:rFonts w:hint="eastAsia"/>
              </w:rPr>
              <w:sym w:font="Wingdings" w:char="00A8"/>
            </w:r>
            <w:r>
              <w:rPr>
                <w:rFonts w:hint="eastAsia"/>
              </w:rPr>
              <w:t xml:space="preserve">推出新产品  </w:t>
            </w:r>
            <w:r>
              <w:rPr>
                <w:rFonts w:hint="eastAsia"/>
              </w:rPr>
              <w:sym w:font="Wingdings" w:char="00FE"/>
            </w:r>
            <w:r>
              <w:rPr>
                <w:rFonts w:hint="eastAsia"/>
              </w:rPr>
              <w:t xml:space="preserve">开辟新市场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赢得新顾客  </w:t>
            </w:r>
            <w:r>
              <w:rPr>
                <w:rFonts w:hint="eastAsia"/>
              </w:rPr>
              <w:sym w:font="Wingdings" w:char="00FE"/>
            </w:r>
            <w:r>
              <w:rPr>
                <w:rFonts w:hint="eastAsia"/>
              </w:rPr>
              <w:t xml:space="preserve">建立合作伙伴关系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11"/>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4"/>
              <w:gridCol w:w="3913"/>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3034" w:type="dxa"/>
                </w:tcPr>
                <w:p>
                  <w:pPr>
                    <w:rPr>
                      <w:highlight w:val="none"/>
                    </w:rPr>
                  </w:pPr>
                  <w:r>
                    <w:rPr>
                      <w:rFonts w:hint="eastAsia"/>
                      <w:highlight w:val="none"/>
                    </w:rPr>
                    <w:t>主要的机遇描述</w:t>
                  </w:r>
                </w:p>
              </w:tc>
              <w:tc>
                <w:tcPr>
                  <w:tcW w:w="3913" w:type="dxa"/>
                </w:tcPr>
                <w:p>
                  <w:pPr>
                    <w:rPr>
                      <w:szCs w:val="24"/>
                      <w:highlight w:val="none"/>
                    </w:rPr>
                  </w:pPr>
                  <w:r>
                    <w:rPr>
                      <w:rFonts w:hint="eastAsia"/>
                      <w:highlight w:val="none"/>
                    </w:rPr>
                    <w:t>应对措施</w:t>
                  </w:r>
                </w:p>
              </w:tc>
              <w:tc>
                <w:tcPr>
                  <w:tcW w:w="1752"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034" w:type="dxa"/>
                </w:tcPr>
                <w:p>
                  <w:pPr>
                    <w:rPr>
                      <w:rFonts w:hint="default" w:eastAsia="宋体"/>
                      <w:highlight w:val="none"/>
                      <w:lang w:val="en-US" w:eastAsia="zh-CN"/>
                    </w:rPr>
                  </w:pPr>
                  <w:r>
                    <w:rPr>
                      <w:rFonts w:hint="eastAsia"/>
                      <w:highlight w:val="none"/>
                      <w:lang w:val="en-US" w:eastAsia="zh-CN"/>
                    </w:rPr>
                    <w:t>国家对食品安全的重视程度越来越高，近几年客户对体系管理要求度也越来越高</w:t>
                  </w:r>
                </w:p>
              </w:tc>
              <w:tc>
                <w:tcPr>
                  <w:tcW w:w="3913" w:type="dxa"/>
                </w:tcPr>
                <w:p>
                  <w:pPr>
                    <w:numPr>
                      <w:ilvl w:val="0"/>
                      <w:numId w:val="2"/>
                    </w:numPr>
                    <w:ind w:leftChars="0"/>
                    <w:rPr>
                      <w:rFonts w:hint="eastAsia"/>
                      <w:highlight w:val="none"/>
                      <w:lang w:val="en-US" w:eastAsia="zh-CN"/>
                    </w:rPr>
                  </w:pPr>
                  <w:r>
                    <w:rPr>
                      <w:rFonts w:hint="eastAsia"/>
                      <w:highlight w:val="none"/>
                      <w:lang w:val="en-US" w:eastAsia="zh-CN"/>
                    </w:rPr>
                    <w:t>通过建立体系，提高自身管理，提高食品安全意识；</w:t>
                  </w:r>
                </w:p>
                <w:p>
                  <w:pPr>
                    <w:pStyle w:val="8"/>
                    <w:numPr>
                      <w:ilvl w:val="0"/>
                      <w:numId w:val="2"/>
                    </w:numPr>
                    <w:ind w:left="0" w:leftChars="0" w:firstLine="0" w:firstLineChars="0"/>
                    <w:rPr>
                      <w:rFonts w:hint="eastAsia"/>
                      <w:highlight w:val="none"/>
                      <w:lang w:val="en-US" w:eastAsia="zh-CN"/>
                    </w:rPr>
                  </w:pPr>
                  <w:r>
                    <w:rPr>
                      <w:rFonts w:hint="eastAsia"/>
                      <w:highlight w:val="none"/>
                      <w:lang w:val="en-US" w:eastAsia="zh-CN"/>
                    </w:rPr>
                    <w:t>及时沟通，满足客户要求</w:t>
                  </w:r>
                </w:p>
                <w:p>
                  <w:pPr>
                    <w:pStyle w:val="8"/>
                    <w:numPr>
                      <w:ilvl w:val="0"/>
                      <w:numId w:val="2"/>
                    </w:numPr>
                    <w:ind w:left="0" w:leftChars="0" w:firstLine="0" w:firstLineChars="0"/>
                    <w:rPr>
                      <w:rFonts w:hint="default"/>
                      <w:highlight w:val="none"/>
                      <w:lang w:val="en-US" w:eastAsia="zh-CN"/>
                    </w:rPr>
                  </w:pPr>
                  <w:r>
                    <w:rPr>
                      <w:rFonts w:hint="eastAsia"/>
                      <w:highlight w:val="none"/>
                      <w:lang w:val="en-US" w:eastAsia="zh-CN"/>
                    </w:rPr>
                    <w:t>及时关注法律法规的更新及要求，不定期组织学习</w:t>
                  </w:r>
                </w:p>
              </w:tc>
              <w:tc>
                <w:tcPr>
                  <w:tcW w:w="1752"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034" w:type="dxa"/>
                </w:tcPr>
                <w:p>
                  <w:pPr>
                    <w:rPr>
                      <w:rFonts w:hint="default" w:eastAsia="宋体"/>
                      <w:szCs w:val="24"/>
                      <w:highlight w:val="none"/>
                      <w:lang w:val="en-US" w:eastAsia="zh-CN"/>
                    </w:rPr>
                  </w:pPr>
                  <w:r>
                    <w:rPr>
                      <w:rFonts w:hint="eastAsia"/>
                      <w:szCs w:val="24"/>
                      <w:highlight w:val="none"/>
                      <w:lang w:val="en-US" w:eastAsia="zh-CN"/>
                    </w:rPr>
                    <w:t>——</w:t>
                  </w:r>
                </w:p>
              </w:tc>
              <w:tc>
                <w:tcPr>
                  <w:tcW w:w="3913" w:type="dxa"/>
                </w:tcPr>
                <w:p>
                  <w:pPr>
                    <w:pStyle w:val="8"/>
                    <w:numPr>
                      <w:ilvl w:val="0"/>
                      <w:numId w:val="0"/>
                    </w:numPr>
                    <w:ind w:leftChars="0"/>
                    <w:rPr>
                      <w:rFonts w:hint="default"/>
                      <w:highlight w:val="none"/>
                      <w:lang w:val="en-US" w:eastAsia="zh-CN"/>
                    </w:rPr>
                  </w:pPr>
                </w:p>
              </w:tc>
              <w:tc>
                <w:tcPr>
                  <w:tcW w:w="1752"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034" w:type="dxa"/>
                </w:tcPr>
                <w:p>
                  <w:pPr>
                    <w:rPr>
                      <w:szCs w:val="24"/>
                    </w:rPr>
                  </w:pPr>
                </w:p>
              </w:tc>
              <w:tc>
                <w:tcPr>
                  <w:tcW w:w="3913" w:type="dxa"/>
                </w:tcPr>
                <w:p/>
              </w:tc>
              <w:tc>
                <w:tcPr>
                  <w:tcW w:w="1752" w:type="dxa"/>
                </w:tcPr>
                <w:p/>
              </w:tc>
            </w:tr>
          </w:tbl>
          <w:p/>
          <w:p/>
          <w:p>
            <w:pPr>
              <w:rPr>
                <w:rFonts w:hint="eastAsia" w:eastAsia="宋体"/>
                <w:lang w:eastAsia="zh-CN"/>
              </w:rPr>
            </w:pPr>
            <w:r>
              <w:rPr>
                <w:rFonts w:hint="eastAsia"/>
              </w:rPr>
              <w:t>FSMS</w:t>
            </w:r>
            <w:r>
              <w:rPr>
                <w:rFonts w:hint="eastAsia"/>
                <w:lang w:eastAsia="zh-CN"/>
              </w:rPr>
              <w:t>：</w:t>
            </w:r>
          </w:p>
          <w:p>
            <w:pPr>
              <w:jc w:val="left"/>
            </w:pPr>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其他</w:t>
            </w:r>
            <w:r>
              <w:rPr>
                <w:rFonts w:hint="eastAsia"/>
                <w:u w:val="single"/>
                <w:lang w:eastAsia="zh-CN"/>
              </w:rPr>
              <w:t>——</w:t>
            </w:r>
            <w:r>
              <w:rPr>
                <w:rFonts w:hint="eastAsia"/>
                <w:u w:val="single"/>
                <w:lang w:val="en-US" w:eastAsia="zh-CN"/>
              </w:rPr>
              <w:t>新冠疫情</w:t>
            </w:r>
            <w:r>
              <w:rPr>
                <w:rFonts w:hint="eastAsia"/>
                <w:u w:val="single"/>
              </w:rPr>
              <w:t xml:space="preserve">      </w:t>
            </w:r>
          </w:p>
          <w:p/>
          <w:p>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 xml:space="preserve">食物中毒 </w:t>
            </w:r>
            <w:r>
              <w:rPr>
                <w:rFonts w:hint="eastAsia"/>
                <w:u w:val="single"/>
              </w:rPr>
              <w:sym w:font="Wingdings" w:char="00A8"/>
            </w:r>
            <w:r>
              <w:rPr>
                <w:rFonts w:hint="eastAsia"/>
                <w:u w:val="single"/>
              </w:rPr>
              <w:t xml:space="preserve">停水  </w:t>
            </w:r>
            <w:r>
              <w:rPr>
                <w:rFonts w:hint="eastAsia"/>
                <w:u w:val="single"/>
              </w:rPr>
              <w:sym w:font="Wingdings" w:char="00A8"/>
            </w:r>
            <w:r>
              <w:rPr>
                <w:rFonts w:hint="eastAsia"/>
                <w:u w:val="single"/>
              </w:rPr>
              <w:t xml:space="preserve">停电  </w:t>
            </w:r>
            <w:r>
              <w:rPr>
                <w:rFonts w:hint="eastAsia"/>
                <w:u w:val="single"/>
              </w:rPr>
              <w:sym w:font="Wingdings" w:char="00A8"/>
            </w:r>
            <w:r>
              <w:rPr>
                <w:rFonts w:hint="eastAsia"/>
                <w:u w:val="single"/>
              </w:rPr>
              <w:t xml:space="preserve"> 停蒸汽   </w:t>
            </w:r>
          </w:p>
          <w:p>
            <w:r>
              <w:rPr>
                <w:rFonts w:hint="eastAsia"/>
                <w:u w:val="single"/>
              </w:rPr>
              <w:t xml:space="preserve">    </w:t>
            </w:r>
            <w:r>
              <w:rPr>
                <w:rFonts w:hint="eastAsia"/>
                <w:u w:val="single"/>
              </w:rPr>
              <w:sym w:font="Wingdings" w:char="00A8"/>
            </w:r>
            <w:r>
              <w:rPr>
                <w:rFonts w:hint="eastAsia"/>
                <w:u w:val="single"/>
              </w:rPr>
              <w:t xml:space="preserve"> 制冷设备故障  </w:t>
            </w:r>
            <w:r>
              <w:rPr>
                <w:rFonts w:hint="eastAsia"/>
                <w:u w:val="single"/>
              </w:rPr>
              <w:sym w:font="Wingdings" w:char="00FE"/>
            </w:r>
            <w:r>
              <w:rPr>
                <w:rFonts w:hint="eastAsia"/>
                <w:u w:val="single"/>
              </w:rPr>
              <w:t xml:space="preserve">车辆故障   </w:t>
            </w:r>
            <w:r>
              <w:rPr>
                <w:rFonts w:hint="eastAsia"/>
                <w:u w:val="single"/>
              </w:rPr>
              <w:sym w:font="Wingdings" w:char="00A8"/>
            </w:r>
            <w:r>
              <w:rPr>
                <w:rFonts w:hint="eastAsia"/>
                <w:u w:val="single"/>
              </w:rPr>
              <w:t xml:space="preserve">其他           </w:t>
            </w:r>
          </w:p>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确保FSMS 能够达到其预期结果;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提高理想效果;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防止或减少不良后果;</w:t>
            </w:r>
          </w:p>
          <w:p>
            <w:r>
              <w:rPr>
                <w:rFonts w:hint="eastAsia"/>
              </w:rPr>
              <w:sym w:font="Wingdings" w:char="00FE"/>
            </w:r>
            <w:r>
              <w:rPr>
                <w:rFonts w:hint="eastAsia"/>
              </w:rPr>
              <w:t xml:space="preserve"> </w:t>
            </w:r>
            <w:r>
              <w:rPr>
                <w:rFonts w:hint="eastAsia" w:ascii="CIDFont+F5" w:hAnsi="CIDFont+F5" w:eastAsia="CIDFont+F5"/>
              </w:rPr>
              <w:t xml:space="preserve"> 实现持续改进。</w:t>
            </w:r>
          </w:p>
        </w:tc>
        <w:tc>
          <w:tcPr>
            <w:tcW w:w="159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4" w:hRule="atLeast"/>
        </w:trPr>
        <w:tc>
          <w:tcPr>
            <w:tcW w:w="2185" w:type="dxa"/>
            <w:vMerge w:val="restart"/>
            <w:shd w:val="clear" w:color="auto" w:fill="auto"/>
          </w:tcPr>
          <w:p/>
        </w:tc>
        <w:tc>
          <w:tcPr>
            <w:tcW w:w="938" w:type="dxa"/>
            <w:shd w:val="clear" w:color="auto" w:fill="auto"/>
          </w:tcPr>
          <w:p>
            <w:r>
              <w:rPr>
                <w:rFonts w:hint="eastAsia"/>
                <w:color w:val="000000"/>
                <w:szCs w:val="21"/>
              </w:rPr>
              <w:t>F6.1.2</w:t>
            </w:r>
          </w:p>
        </w:tc>
        <w:tc>
          <w:tcPr>
            <w:tcW w:w="745" w:type="dxa"/>
            <w:gridSpan w:val="2"/>
            <w:shd w:val="clear" w:color="auto" w:fill="auto"/>
          </w:tcPr>
          <w:p>
            <w:r>
              <w:rPr>
                <w:rFonts w:hint="eastAsia"/>
              </w:rPr>
              <w:t>运行证据</w:t>
            </w:r>
          </w:p>
        </w:tc>
        <w:tc>
          <w:tcPr>
            <w:tcW w:w="9249" w:type="dxa"/>
            <w:gridSpan w:val="2"/>
            <w:shd w:val="clear" w:color="auto" w:fill="auto"/>
          </w:tcPr>
          <w:p>
            <w:pPr>
              <w:rPr>
                <w:rFonts w:ascii="CIDFont+F5" w:hAnsi="CIDFont+F5" w:eastAsia="CIDFont+F5"/>
              </w:rPr>
            </w:pPr>
            <w:r>
              <w:rPr>
                <w:rFonts w:hint="eastAsia" w:ascii="CIDFont+F5" w:hAnsi="CIDFont+F5" w:eastAsia="CIDFont+F5"/>
              </w:rPr>
              <w:t>该组织策划了：</w:t>
            </w:r>
          </w:p>
          <w:p>
            <w:pPr>
              <w:jc w:val="left"/>
              <w:rPr>
                <w:rFonts w:hint="default" w:ascii="CIDFont+F5" w:hAnsi="CIDFont+F5" w:eastAsia="CIDFont+F5"/>
                <w:lang w:val="en-US" w:eastAsia="zh-CN"/>
              </w:rPr>
            </w:pPr>
            <w:r>
              <w:rPr>
                <w:rFonts w:hint="eastAsia" w:ascii="CIDFont+F5" w:hAnsi="CIDFont+F5" w:eastAsia="CIDFont+F5"/>
              </w:rPr>
              <w:t>a) 解决这些风险和机遇的行动;——企业</w:t>
            </w:r>
            <w:r>
              <w:rPr>
                <w:rFonts w:hint="eastAsia" w:ascii="CIDFont+F5" w:hAnsi="CIDFont+F5" w:eastAsia="CIDFont+F5"/>
                <w:lang w:val="en-US" w:eastAsia="zh-CN"/>
              </w:rPr>
              <w:t>通过日常沟通运行管理进行控制</w:t>
            </w:r>
          </w:p>
          <w:p>
            <w:pPr>
              <w:jc w:val="left"/>
              <w:rPr>
                <w:rFonts w:ascii="CIDFont+F5" w:hAnsi="CIDFont+F5" w:eastAsia="CIDFont+F5"/>
              </w:rPr>
            </w:pPr>
            <w:r>
              <w:rPr>
                <w:rFonts w:hint="eastAsia" w:ascii="CIDFont+F5" w:hAnsi="CIDFont+F5" w:eastAsia="CIDFont+F5"/>
              </w:rPr>
              <w:t>b) 并进行了:</w:t>
            </w:r>
          </w:p>
          <w:p>
            <w:pPr>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97" w:type="dxa"/>
            <w:gridSpan w:val="2"/>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2" w:hRule="atLeast"/>
        </w:trPr>
        <w:tc>
          <w:tcPr>
            <w:tcW w:w="2185" w:type="dxa"/>
            <w:vMerge w:val="continue"/>
            <w:shd w:val="clear" w:color="auto" w:fill="auto"/>
          </w:tcPr>
          <w:p>
            <w:pPr>
              <w:rPr>
                <w:highlight w:val="yellow"/>
              </w:rPr>
            </w:pPr>
          </w:p>
        </w:tc>
        <w:tc>
          <w:tcPr>
            <w:tcW w:w="938" w:type="dxa"/>
            <w:shd w:val="clear" w:color="auto" w:fill="auto"/>
          </w:tcPr>
          <w:p>
            <w:r>
              <w:rPr>
                <w:rFonts w:hint="eastAsia"/>
                <w:color w:val="000000"/>
                <w:szCs w:val="21"/>
              </w:rPr>
              <w:t>F6.1.3</w:t>
            </w:r>
          </w:p>
        </w:tc>
        <w:tc>
          <w:tcPr>
            <w:tcW w:w="745" w:type="dxa"/>
            <w:gridSpan w:val="2"/>
            <w:shd w:val="clear" w:color="auto" w:fill="auto"/>
          </w:tcPr>
          <w:p>
            <w:r>
              <w:rPr>
                <w:rFonts w:hint="eastAsia"/>
              </w:rPr>
              <w:t>运行证据</w:t>
            </w:r>
          </w:p>
        </w:tc>
        <w:tc>
          <w:tcPr>
            <w:tcW w:w="9249" w:type="dxa"/>
            <w:gridSpan w:val="2"/>
            <w:shd w:val="clear" w:color="auto" w:fill="auto"/>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97" w:type="dxa"/>
            <w:gridSpan w:val="2"/>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85" w:type="dxa"/>
            <w:vMerge w:val="restart"/>
            <w:shd w:val="clear" w:color="auto" w:fill="auto"/>
          </w:tcPr>
          <w:p>
            <w:pPr>
              <w:rPr>
                <w:color w:val="000000"/>
                <w:szCs w:val="21"/>
              </w:rPr>
            </w:pPr>
            <w:r>
              <w:rPr>
                <w:rFonts w:hint="eastAsia"/>
                <w:color w:val="000000"/>
                <w:szCs w:val="21"/>
              </w:rPr>
              <w:t>食品安全目标及其实现的策划</w:t>
            </w:r>
          </w:p>
          <w:p/>
        </w:tc>
        <w:tc>
          <w:tcPr>
            <w:tcW w:w="938" w:type="dxa"/>
            <w:vMerge w:val="restart"/>
            <w:shd w:val="clear" w:color="auto" w:fill="auto"/>
          </w:tcPr>
          <w:p>
            <w:pPr>
              <w:rPr>
                <w:color w:val="000000"/>
                <w:szCs w:val="21"/>
              </w:rPr>
            </w:pPr>
            <w:r>
              <w:rPr>
                <w:rFonts w:hint="eastAsia"/>
                <w:color w:val="000000"/>
                <w:szCs w:val="21"/>
              </w:rPr>
              <w:t>F6.2</w:t>
            </w:r>
          </w:p>
        </w:tc>
        <w:tc>
          <w:tcPr>
            <w:tcW w:w="745" w:type="dxa"/>
            <w:gridSpan w:val="2"/>
            <w:shd w:val="clear" w:color="auto" w:fill="auto"/>
          </w:tcPr>
          <w:p>
            <w:r>
              <w:rPr>
                <w:rFonts w:hint="eastAsia"/>
              </w:rPr>
              <w:t>文件名称</w:t>
            </w:r>
          </w:p>
        </w:tc>
        <w:tc>
          <w:tcPr>
            <w:tcW w:w="9249" w:type="dxa"/>
            <w:gridSpan w:val="2"/>
            <w:shd w:val="clear" w:color="auto" w:fill="auto"/>
          </w:tcPr>
          <w:p>
            <w:r>
              <w:rPr>
                <w:rFonts w:hint="eastAsia"/>
              </w:rPr>
              <w:t>如：</w:t>
            </w:r>
            <w:r>
              <w:rPr/>
              <w:sym w:font="Wingdings" w:char="00FE"/>
            </w:r>
            <w:r>
              <w:rPr>
                <w:rFonts w:hint="eastAsia"/>
              </w:rPr>
              <w:t xml:space="preserve">手册第6.2条款、《目标管理程序》 </w:t>
            </w:r>
            <w:r>
              <w:rPr/>
              <w:sym w:font="Wingdings" w:char="00FE"/>
            </w:r>
            <w:r>
              <w:rPr>
                <w:rFonts w:hint="eastAsia"/>
              </w:rPr>
              <w:t>《2022年度各部门目标指标完成情况检查表》</w:t>
            </w:r>
          </w:p>
        </w:tc>
        <w:tc>
          <w:tcPr>
            <w:tcW w:w="1597"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85" w:type="dxa"/>
            <w:vMerge w:val="continue"/>
            <w:shd w:val="clear" w:color="auto" w:fill="auto"/>
          </w:tcPr>
          <w:p/>
        </w:tc>
        <w:tc>
          <w:tcPr>
            <w:tcW w:w="938" w:type="dxa"/>
            <w:vMerge w:val="continue"/>
            <w:shd w:val="clear" w:color="auto" w:fill="auto"/>
          </w:tcPr>
          <w:p/>
        </w:tc>
        <w:tc>
          <w:tcPr>
            <w:tcW w:w="745" w:type="dxa"/>
            <w:gridSpan w:val="2"/>
            <w:shd w:val="clear" w:color="auto" w:fill="auto"/>
          </w:tcPr>
          <w:p>
            <w:r>
              <w:rPr>
                <w:rFonts w:hint="eastAsia"/>
              </w:rPr>
              <w:t>运行证据</w:t>
            </w:r>
          </w:p>
        </w:tc>
        <w:tc>
          <w:tcPr>
            <w:tcW w:w="9249" w:type="dxa"/>
            <w:gridSpan w:val="2"/>
            <w:shd w:val="clear" w:color="auto" w:fill="auto"/>
          </w:tcPr>
          <w:p>
            <w:r>
              <w:rPr>
                <w:rFonts w:hint="eastAsia"/>
              </w:rPr>
              <w:t>组织建立了与方针一致的文件化的管理目标。为实现总的</w:t>
            </w:r>
            <w:r>
              <w:rPr>
                <w:rFonts w:hint="eastAsia" w:ascii="宋体" w:hAnsi="宋体"/>
                <w:szCs w:val="21"/>
              </w:rPr>
              <w:t>食品安全</w:t>
            </w:r>
            <w:r>
              <w:rPr>
                <w:rFonts w:hint="eastAsia"/>
              </w:rPr>
              <w:t>目标而建立的各层级</w:t>
            </w:r>
            <w:r>
              <w:rPr>
                <w:rFonts w:hint="eastAsia" w:ascii="宋体" w:hAnsi="宋体"/>
                <w:szCs w:val="21"/>
              </w:rPr>
              <w:t>食品安全</w:t>
            </w:r>
            <w:r>
              <w:rPr>
                <w:rFonts w:hint="eastAsia"/>
              </w:rPr>
              <w:t>目标具体、有针对性、可测量并且可实现。</w:t>
            </w:r>
          </w:p>
          <w:p>
            <w:r>
              <w:rPr>
                <w:rFonts w:hint="eastAsia"/>
              </w:rPr>
              <w:t>总</w:t>
            </w:r>
            <w:r>
              <w:rPr>
                <w:rFonts w:hint="eastAsia" w:ascii="宋体" w:hAnsi="宋体"/>
                <w:szCs w:val="21"/>
              </w:rPr>
              <w:t>食品安全</w:t>
            </w:r>
            <w:r>
              <w:rPr>
                <w:rFonts w:hint="eastAsia"/>
              </w:rPr>
              <w:t>目标实现情况的评价，及其测量方法是：</w:t>
            </w:r>
          </w:p>
          <w:tbl>
            <w:tblPr>
              <w:tblStyle w:val="1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8"/>
              <w:gridCol w:w="1622"/>
              <w:gridCol w:w="1067"/>
              <w:gridCol w:w="1746"/>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438"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szCs w:val="22"/>
                      <w:highlight w:val="none"/>
                    </w:rPr>
                    <w:t>食品安全</w:t>
                  </w:r>
                  <w:r>
                    <w:rPr>
                      <w:rFonts w:hint="eastAsia"/>
                      <w:color w:val="000000"/>
                      <w:szCs w:val="18"/>
                      <w:highlight w:val="none"/>
                    </w:rPr>
                    <w:t>目标</w:t>
                  </w:r>
                </w:p>
              </w:tc>
              <w:tc>
                <w:tcPr>
                  <w:tcW w:w="1622"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考核频次</w:t>
                  </w:r>
                </w:p>
              </w:tc>
              <w:tc>
                <w:tcPr>
                  <w:tcW w:w="1067"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计算方法</w:t>
                  </w:r>
                </w:p>
              </w:tc>
              <w:tc>
                <w:tcPr>
                  <w:tcW w:w="174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szCs w:val="22"/>
                      <w:highlight w:val="none"/>
                    </w:rPr>
                    <w:t>责任部门</w:t>
                  </w:r>
                </w:p>
              </w:tc>
              <w:tc>
                <w:tcPr>
                  <w:tcW w:w="2110"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完成情况（审核周期</w:t>
                  </w:r>
                  <w:r>
                    <w:rPr>
                      <w:rFonts w:hint="eastAsia"/>
                      <w:color w:val="000000"/>
                      <w:szCs w:val="18"/>
                      <w:highlight w:val="none"/>
                      <w:lang w:val="en-US" w:eastAsia="zh-CN"/>
                    </w:rPr>
                    <w:t>2022.11-2023.01</w:t>
                  </w:r>
                  <w:r>
                    <w:rPr>
                      <w:rFonts w:hint="eastAsia"/>
                      <w:color w:val="000000"/>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438" w:type="dxa"/>
                  <w:vAlign w:val="center"/>
                </w:tcPr>
                <w:p>
                  <w:pPr>
                    <w:rPr>
                      <w:rFonts w:hint="default" w:ascii="Times New Roman" w:hAnsi="Times New Roman" w:eastAsia="宋体" w:cs="Times New Roman"/>
                      <w:b w:val="0"/>
                      <w:bCs w:val="0"/>
                      <w:kern w:val="2"/>
                      <w:sz w:val="21"/>
                      <w:szCs w:val="21"/>
                      <w:highlight w:val="none"/>
                      <w:lang w:val="en-US" w:eastAsia="zh-CN" w:bidi="ar-SA"/>
                    </w:rPr>
                  </w:pPr>
                  <w:r>
                    <w:rPr>
                      <w:rFonts w:hint="eastAsia"/>
                      <w:b w:val="0"/>
                      <w:bCs w:val="0"/>
                      <w:sz w:val="21"/>
                      <w:szCs w:val="21"/>
                      <w:highlight w:val="none"/>
                    </w:rPr>
                    <w:t>食品安全事故</w:t>
                  </w:r>
                  <w:r>
                    <w:rPr>
                      <w:rFonts w:hint="eastAsia"/>
                      <w:b w:val="0"/>
                      <w:bCs w:val="0"/>
                      <w:sz w:val="21"/>
                      <w:szCs w:val="21"/>
                      <w:highlight w:val="none"/>
                      <w:lang w:eastAsia="zh-CN"/>
                    </w:rPr>
                    <w:t>：</w:t>
                  </w:r>
                  <w:r>
                    <w:rPr>
                      <w:rFonts w:hint="eastAsia"/>
                      <w:b w:val="0"/>
                      <w:bCs w:val="0"/>
                      <w:sz w:val="21"/>
                      <w:szCs w:val="21"/>
                      <w:highlight w:val="none"/>
                      <w:lang w:val="en-US" w:eastAsia="zh-CN"/>
                    </w:rPr>
                    <w:t>0</w:t>
                  </w:r>
                  <w:r>
                    <w:rPr>
                      <w:rFonts w:hint="eastAsia" w:ascii="微软雅黑" w:hAnsi="微软雅黑" w:eastAsia="微软雅黑" w:cs="微软雅黑"/>
                      <w:spacing w:val="15"/>
                      <w:sz w:val="21"/>
                      <w:szCs w:val="21"/>
                      <w:highlight w:val="none"/>
                      <w:lang w:val="en-US" w:eastAsia="zh-CN"/>
                    </w:rPr>
                    <w:t>次/年</w:t>
                  </w:r>
                </w:p>
              </w:tc>
              <w:tc>
                <w:tcPr>
                  <w:tcW w:w="1622" w:type="dxa"/>
                  <w:vAlign w:val="center"/>
                </w:tcPr>
                <w:p>
                  <w:pPr>
                    <w:jc w:val="center"/>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年度</w:t>
                  </w:r>
                </w:p>
              </w:tc>
              <w:tc>
                <w:tcPr>
                  <w:tcW w:w="1067"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按实际发生次数</w:t>
                  </w:r>
                </w:p>
              </w:tc>
              <w:tc>
                <w:tcPr>
                  <w:tcW w:w="1746"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eastAsia="宋体" w:cs="Times New Roman"/>
                      <w:color w:val="000000"/>
                      <w:kern w:val="2"/>
                      <w:sz w:val="21"/>
                      <w:szCs w:val="21"/>
                      <w:highlight w:val="none"/>
                      <w:lang w:val="en-US" w:eastAsia="zh-CN" w:bidi="ar-SA"/>
                    </w:rPr>
                    <w:t>各部门</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438" w:type="dxa"/>
                  <w:vAlign w:val="center"/>
                </w:tcPr>
                <w:p>
                  <w:pPr>
                    <w:numPr>
                      <w:ilvl w:val="0"/>
                      <w:numId w:val="0"/>
                    </w:numPr>
                    <w:spacing w:line="360" w:lineRule="auto"/>
                    <w:ind w:left="0" w:leftChars="0" w:firstLine="0" w:firstLineChars="0"/>
                    <w:rPr>
                      <w:rFonts w:hint="default" w:ascii="Times New Roman" w:hAnsi="Times New Roman" w:eastAsia="宋体" w:cs="Times New Roman"/>
                      <w:b w:val="0"/>
                      <w:bCs w:val="0"/>
                      <w:kern w:val="2"/>
                      <w:sz w:val="21"/>
                      <w:szCs w:val="21"/>
                      <w:highlight w:val="none"/>
                      <w:lang w:val="en-US" w:eastAsia="zh-CN" w:bidi="ar-SA"/>
                    </w:rPr>
                  </w:pPr>
                  <w:r>
                    <w:rPr>
                      <w:rFonts w:hint="eastAsia"/>
                      <w:b w:val="0"/>
                      <w:bCs w:val="0"/>
                      <w:sz w:val="21"/>
                      <w:szCs w:val="21"/>
                      <w:highlight w:val="none"/>
                    </w:rPr>
                    <w:t>客户</w:t>
                  </w:r>
                  <w:r>
                    <w:rPr>
                      <w:rFonts w:hint="eastAsia"/>
                      <w:b w:val="0"/>
                      <w:bCs w:val="0"/>
                      <w:sz w:val="21"/>
                      <w:szCs w:val="21"/>
                      <w:highlight w:val="none"/>
                      <w:lang w:val="en-US" w:eastAsia="zh-CN"/>
                    </w:rPr>
                    <w:t>抱怨或投诉</w:t>
                  </w:r>
                  <w:r>
                    <w:rPr>
                      <w:rFonts w:hint="eastAsia" w:ascii="微软雅黑" w:hAnsi="微软雅黑" w:eastAsia="微软雅黑" w:cs="微软雅黑"/>
                      <w:spacing w:val="15"/>
                      <w:sz w:val="21"/>
                      <w:szCs w:val="21"/>
                      <w:highlight w:val="none"/>
                    </w:rPr>
                    <w:t>≯</w:t>
                  </w:r>
                  <w:r>
                    <w:rPr>
                      <w:rFonts w:hint="eastAsia" w:ascii="微软雅黑" w:hAnsi="微软雅黑" w:eastAsia="微软雅黑" w:cs="微软雅黑"/>
                      <w:spacing w:val="15"/>
                      <w:sz w:val="21"/>
                      <w:szCs w:val="21"/>
                      <w:highlight w:val="none"/>
                      <w:lang w:val="en-US" w:eastAsia="zh-CN"/>
                    </w:rPr>
                    <w:t>1次/年</w:t>
                  </w:r>
                </w:p>
              </w:tc>
              <w:tc>
                <w:tcPr>
                  <w:tcW w:w="1622" w:type="dxa"/>
                  <w:vAlign w:val="center"/>
                </w:tcPr>
                <w:p>
                  <w:pPr>
                    <w:jc w:val="center"/>
                    <w:rPr>
                      <w:rFonts w:hint="default" w:ascii="Times New Roman" w:hAnsi="Times New Roman" w:eastAsia="宋体" w:cs="Times New Roman"/>
                      <w:color w:val="000000"/>
                      <w:kern w:val="2"/>
                      <w:sz w:val="21"/>
                      <w:szCs w:val="21"/>
                      <w:highlight w:val="none"/>
                      <w:lang w:val="en-US" w:eastAsia="zh-CN" w:bidi="ar-SA"/>
                    </w:rPr>
                  </w:pPr>
                  <w:r>
                    <w:rPr>
                      <w:rFonts w:hint="eastAsia"/>
                      <w:b w:val="0"/>
                      <w:bCs w:val="0"/>
                      <w:highlight w:val="none"/>
                      <w:lang w:eastAsia="zh-CN"/>
                    </w:rPr>
                    <w:t>年</w:t>
                  </w:r>
                  <w:r>
                    <w:rPr>
                      <w:rFonts w:hint="eastAsia"/>
                      <w:b w:val="0"/>
                      <w:bCs w:val="0"/>
                      <w:highlight w:val="none"/>
                      <w:lang w:val="en-US" w:eastAsia="zh-CN"/>
                    </w:rPr>
                    <w:t>度</w:t>
                  </w:r>
                </w:p>
              </w:tc>
              <w:tc>
                <w:tcPr>
                  <w:tcW w:w="1067"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按实际发生次数</w:t>
                  </w:r>
                </w:p>
              </w:tc>
              <w:tc>
                <w:tcPr>
                  <w:tcW w:w="1746"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综合部</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0</w:t>
                  </w:r>
                </w:p>
              </w:tc>
            </w:tr>
          </w:tbl>
          <w:p>
            <w:pPr>
              <w:pStyle w:val="9"/>
              <w:rPr>
                <w:rFonts w:ascii="宋体" w:hAnsi="宋体"/>
              </w:rPr>
            </w:pPr>
          </w:p>
          <w:p>
            <w:pPr>
              <w:rPr>
                <w:rFonts w:hint="default" w:eastAsia="宋体"/>
                <w:u w:val="single"/>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r>
              <w:rPr>
                <w:rFonts w:hint="eastAsia"/>
                <w:lang w:val="en-US" w:eastAsia="zh-CN"/>
              </w:rPr>
              <w:t xml:space="preserve">     </w:t>
            </w:r>
          </w:p>
          <w:p>
            <w:r>
              <w:rPr>
                <w:rFonts w:hint="eastAsia"/>
              </w:rPr>
              <w:sym w:font="Wingdings" w:char="00A8"/>
            </w:r>
            <w:r>
              <w:rPr>
                <w:rFonts w:hint="eastAsia"/>
              </w:rPr>
              <w:t>目标没有实现的，组织在内部及时进行原因分析并采取了改进措施。</w:t>
            </w:r>
          </w:p>
        </w:tc>
        <w:tc>
          <w:tcPr>
            <w:tcW w:w="159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85" w:type="dxa"/>
            <w:vMerge w:val="restart"/>
            <w:shd w:val="clear" w:color="auto" w:fill="auto"/>
          </w:tcPr>
          <w:p>
            <w:pPr>
              <w:rPr>
                <w:color w:val="000000"/>
                <w:szCs w:val="21"/>
              </w:rPr>
            </w:pPr>
            <w:r>
              <w:rPr>
                <w:rFonts w:hint="eastAsia"/>
                <w:color w:val="000000"/>
                <w:szCs w:val="21"/>
              </w:rPr>
              <w:t>变更的策划</w:t>
            </w:r>
          </w:p>
          <w:p/>
        </w:tc>
        <w:tc>
          <w:tcPr>
            <w:tcW w:w="938" w:type="dxa"/>
            <w:vMerge w:val="restart"/>
            <w:shd w:val="clear" w:color="auto" w:fill="auto"/>
          </w:tcPr>
          <w:p>
            <w:r>
              <w:rPr>
                <w:rFonts w:hint="eastAsia"/>
                <w:color w:val="000000"/>
                <w:szCs w:val="21"/>
              </w:rPr>
              <w:t>F6.3</w:t>
            </w:r>
          </w:p>
        </w:tc>
        <w:tc>
          <w:tcPr>
            <w:tcW w:w="745" w:type="dxa"/>
            <w:gridSpan w:val="2"/>
            <w:shd w:val="clear" w:color="auto" w:fill="auto"/>
          </w:tcPr>
          <w:p>
            <w:r>
              <w:rPr>
                <w:rFonts w:hint="eastAsia"/>
              </w:rPr>
              <w:t>文件名称</w:t>
            </w:r>
          </w:p>
        </w:tc>
        <w:tc>
          <w:tcPr>
            <w:tcW w:w="9249"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手册第6.3章</w:t>
            </w:r>
          </w:p>
        </w:tc>
        <w:tc>
          <w:tcPr>
            <w:tcW w:w="1597"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85" w:type="dxa"/>
            <w:vMerge w:val="continue"/>
            <w:shd w:val="clear" w:color="auto" w:fill="auto"/>
          </w:tcPr>
          <w:p/>
        </w:tc>
        <w:tc>
          <w:tcPr>
            <w:tcW w:w="938" w:type="dxa"/>
            <w:vMerge w:val="continue"/>
            <w:shd w:val="clear" w:color="auto" w:fill="auto"/>
          </w:tcPr>
          <w:p/>
        </w:tc>
        <w:tc>
          <w:tcPr>
            <w:tcW w:w="745" w:type="dxa"/>
            <w:gridSpan w:val="2"/>
            <w:shd w:val="clear" w:color="auto" w:fill="auto"/>
          </w:tcPr>
          <w:p>
            <w:r>
              <w:rPr>
                <w:rFonts w:hint="eastAsia"/>
              </w:rPr>
              <w:t>运行证据</w:t>
            </w:r>
          </w:p>
        </w:tc>
        <w:tc>
          <w:tcPr>
            <w:tcW w:w="9249" w:type="dxa"/>
            <w:gridSpan w:val="2"/>
            <w:shd w:val="clear" w:color="auto" w:fill="auto"/>
          </w:tcPr>
          <w:p>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w:t>
            </w:r>
            <w:r>
              <w:rPr>
                <w:rFonts w:hint="eastAsia"/>
                <w:lang w:eastAsia="zh-CN"/>
              </w:rPr>
              <w:t>□</w:t>
            </w:r>
            <w:r>
              <w:rPr>
                <w:rFonts w:hint="eastAsia"/>
              </w:rPr>
              <w:t>关键人员</w:t>
            </w:r>
            <w:r>
              <w:rPr>
                <w:rFonts w:hint="eastAsia"/>
                <w:lang w:val="en-US" w:eastAsia="zh-CN"/>
              </w:rPr>
              <w:t xml:space="preserve">  </w:t>
            </w:r>
            <w:r>
              <w:rPr>
                <w:rFonts w:hint="eastAsia"/>
              </w:rPr>
              <w:t xml:space="preserve"> </w:t>
            </w:r>
            <w:r>
              <w:rPr>
                <w:rFonts w:hint="eastAsia"/>
                <w:lang w:eastAsia="zh-CN"/>
              </w:rPr>
              <w:t>□</w:t>
            </w:r>
            <w:r>
              <w:rPr>
                <w:rFonts w:hint="eastAsia"/>
              </w:rPr>
              <w:t xml:space="preserve">生产工艺/服务流程 </w:t>
            </w:r>
          </w:p>
          <w:p>
            <w:pPr>
              <w:spacing w:before="40" w:after="40"/>
              <w:rPr>
                <w:rFonts w:hint="default" w:eastAsia="宋体"/>
                <w:lang w:val="en-US" w:eastAsia="zh-CN"/>
              </w:rPr>
            </w:pPr>
            <w:r>
              <w:rPr>
                <w:rFonts w:hint="eastAsia"/>
              </w:rPr>
              <w:t xml:space="preserve">□主要设备设施 □主要检测设备 </w:t>
            </w:r>
            <w:r>
              <w:rPr/>
              <w:sym w:font="Wingdings" w:char="00FE"/>
            </w:r>
            <w:r>
              <w:rPr>
                <w:rFonts w:hint="eastAsia"/>
              </w:rPr>
              <w:t>其他</w:t>
            </w:r>
            <w:r>
              <w:rPr>
                <w:rFonts w:hint="eastAsia"/>
                <w:lang w:eastAsia="zh-CN"/>
              </w:rPr>
              <w:t>——</w:t>
            </w:r>
            <w:r>
              <w:rPr>
                <w:rFonts w:hint="eastAsia"/>
                <w:lang w:val="en-US" w:eastAsia="zh-CN"/>
              </w:rPr>
              <w:t>无</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396" w:type="dxa"/>
                </w:tcPr>
                <w:p>
                  <w:r>
                    <w:rPr>
                      <w:rFonts w:hint="eastAsia"/>
                    </w:rPr>
                    <w:t>体系变更的内容说明</w:t>
                  </w:r>
                </w:p>
              </w:tc>
              <w:tc>
                <w:tcPr>
                  <w:tcW w:w="3632"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质量管理体系的完整性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tc>
        <w:tc>
          <w:tcPr>
            <w:tcW w:w="159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85" w:type="dxa"/>
            <w:vMerge w:val="restart"/>
            <w:shd w:val="clear" w:color="auto" w:fill="auto"/>
          </w:tcPr>
          <w:p>
            <w:r>
              <w:rPr>
                <w:rFonts w:hint="eastAsia"/>
              </w:rPr>
              <w:t>资源（总则）</w:t>
            </w:r>
          </w:p>
        </w:tc>
        <w:tc>
          <w:tcPr>
            <w:tcW w:w="938" w:type="dxa"/>
            <w:vMerge w:val="restart"/>
            <w:shd w:val="clear" w:color="auto" w:fill="auto"/>
          </w:tcPr>
          <w:p>
            <w:r>
              <w:rPr>
                <w:rFonts w:hint="eastAsia"/>
                <w:color w:val="000000"/>
                <w:szCs w:val="21"/>
              </w:rPr>
              <w:t>F7.1</w:t>
            </w:r>
          </w:p>
        </w:tc>
        <w:tc>
          <w:tcPr>
            <w:tcW w:w="745" w:type="dxa"/>
            <w:gridSpan w:val="2"/>
            <w:shd w:val="clear" w:color="auto" w:fill="auto"/>
          </w:tcPr>
          <w:p>
            <w:r>
              <w:rPr>
                <w:rFonts w:hint="eastAsia"/>
              </w:rPr>
              <w:t>文件名称</w:t>
            </w:r>
          </w:p>
        </w:tc>
        <w:tc>
          <w:tcPr>
            <w:tcW w:w="9249" w:type="dxa"/>
            <w:gridSpan w:val="2"/>
            <w:shd w:val="clear" w:color="auto" w:fill="auto"/>
          </w:tcPr>
          <w:p>
            <w:r>
              <w:rPr>
                <w:rFonts w:hint="eastAsia"/>
              </w:rPr>
              <w:t>如：</w:t>
            </w:r>
            <w:r>
              <w:rPr/>
              <w:sym w:font="Wingdings" w:char="00FE"/>
            </w:r>
            <w:r>
              <w:rPr>
                <w:rFonts w:hint="eastAsia"/>
              </w:rPr>
              <w:t>管理手册第7.1章</w:t>
            </w:r>
          </w:p>
        </w:tc>
        <w:tc>
          <w:tcPr>
            <w:tcW w:w="1597"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85" w:type="dxa"/>
            <w:vMerge w:val="continue"/>
            <w:shd w:val="clear" w:color="auto" w:fill="auto"/>
          </w:tcPr>
          <w:p/>
        </w:tc>
        <w:tc>
          <w:tcPr>
            <w:tcW w:w="938" w:type="dxa"/>
            <w:vMerge w:val="continue"/>
            <w:shd w:val="clear" w:color="auto" w:fill="auto"/>
          </w:tcPr>
          <w:p/>
        </w:tc>
        <w:tc>
          <w:tcPr>
            <w:tcW w:w="745" w:type="dxa"/>
            <w:gridSpan w:val="2"/>
            <w:shd w:val="clear" w:color="auto" w:fill="auto"/>
          </w:tcPr>
          <w:p>
            <w:r>
              <w:rPr>
                <w:rFonts w:hint="eastAsia"/>
              </w:rPr>
              <w:t>运行证据</w:t>
            </w:r>
          </w:p>
        </w:tc>
        <w:tc>
          <w:tcPr>
            <w:tcW w:w="9249" w:type="dxa"/>
            <w:gridSpan w:val="2"/>
            <w:shd w:val="clear" w:color="auto" w:fill="auto"/>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3"/>
              </w:numPr>
              <w:rPr>
                <w:color w:val="000000"/>
                <w:szCs w:val="21"/>
              </w:rPr>
            </w:pPr>
            <w:r>
              <w:rPr>
                <w:rFonts w:hint="eastAsia"/>
                <w:color w:val="000000"/>
                <w:szCs w:val="21"/>
              </w:rPr>
              <w:t>现有内部资源的能力；</w:t>
            </w:r>
          </w:p>
          <w:p>
            <w:pPr>
              <w:rPr>
                <w:rFonts w:hint="default" w:eastAsia="宋体"/>
                <w:highlight w:val="none"/>
                <w:u w:val="single"/>
                <w:lang w:val="en-US" w:eastAsia="zh-CN"/>
              </w:rPr>
            </w:pPr>
            <w:r>
              <w:rPr>
                <w:rFonts w:hint="eastAsia"/>
                <w:highlight w:val="none"/>
                <w:u w:val="single"/>
                <w:lang w:val="en-US" w:eastAsia="zh-CN"/>
              </w:rPr>
              <w:t>销售区店铺</w:t>
            </w:r>
            <w:r>
              <w:rPr>
                <w:rFonts w:hint="eastAsia"/>
                <w:highlight w:val="none"/>
                <w:u w:val="single"/>
              </w:rPr>
              <w:t>面积：</w:t>
            </w:r>
            <w:r>
              <w:rPr>
                <w:rFonts w:hint="eastAsia"/>
                <w:highlight w:val="none"/>
                <w:u w:val="single"/>
                <w:lang w:val="en-US" w:eastAsia="zh-CN"/>
              </w:rPr>
              <w:t>40</w:t>
            </w:r>
            <w:r>
              <w:rPr>
                <w:rFonts w:hint="eastAsia"/>
                <w:u w:val="single"/>
              </w:rPr>
              <w:t>平方米左右</w:t>
            </w:r>
            <w:r>
              <w:rPr>
                <w:rFonts w:hint="eastAsia"/>
                <w:highlight w:val="none"/>
                <w:u w:val="single"/>
              </w:rPr>
              <w:t>；</w:t>
            </w:r>
            <w:r>
              <w:rPr>
                <w:rFonts w:hint="eastAsia"/>
                <w:highlight w:val="none"/>
                <w:u w:val="single"/>
                <w:lang w:val="en-US" w:eastAsia="zh-CN"/>
              </w:rPr>
              <w:t>常温库0个，小型冷库 0个</w:t>
            </w:r>
            <w:r>
              <w:rPr>
                <w:rFonts w:hint="eastAsia"/>
                <w:highlight w:val="none"/>
                <w:u w:val="single"/>
              </w:rPr>
              <w:t>；配送车辆：</w:t>
            </w:r>
            <w:r>
              <w:rPr>
                <w:rFonts w:hint="eastAsia"/>
                <w:highlight w:val="none"/>
                <w:u w:val="single"/>
                <w:lang w:val="en-US" w:eastAsia="zh-CN"/>
              </w:rPr>
              <w:t>2</w:t>
            </w:r>
            <w:r>
              <w:rPr>
                <w:rFonts w:hint="eastAsia"/>
                <w:highlight w:val="none"/>
                <w:u w:val="single"/>
              </w:rPr>
              <w:t xml:space="preserve"> 辆；</w:t>
            </w:r>
            <w:r>
              <w:rPr>
                <w:rFonts w:hint="eastAsia"/>
                <w:highlight w:val="none"/>
                <w:u w:val="single"/>
                <w:lang w:val="en-US" w:eastAsia="zh-CN"/>
              </w:rPr>
              <w:t>办公室/销售区1个；检验室0个；</w:t>
            </w:r>
          </w:p>
          <w:p>
            <w:pPr>
              <w:pStyle w:val="9"/>
              <w:rPr>
                <w:rFonts w:hint="default"/>
                <w:lang w:val="en-US" w:eastAsia="zh-CN"/>
              </w:rPr>
            </w:pPr>
          </w:p>
          <w:p>
            <w:pPr>
              <w:rPr>
                <w:rFonts w:hint="default" w:eastAsia="宋体"/>
                <w:u w:val="single"/>
                <w:lang w:val="en-US" w:eastAsia="zh-CN"/>
              </w:rPr>
            </w:pPr>
            <w:r>
              <w:rPr>
                <w:rFonts w:hint="eastAsia"/>
              </w:rPr>
              <w:t>主要设备有：</w:t>
            </w:r>
            <w:r>
              <w:rPr>
                <w:rFonts w:hint="eastAsia"/>
                <w:u w:val="single"/>
              </w:rPr>
              <w:t xml:space="preserve"> </w:t>
            </w:r>
            <w:r>
              <w:rPr>
                <w:rFonts w:hint="eastAsia"/>
                <w:szCs w:val="21"/>
                <w:u w:val="single"/>
              </w:rPr>
              <w:t xml:space="preserve"> 电子</w:t>
            </w:r>
            <w:r>
              <w:rPr>
                <w:rFonts w:hint="eastAsia"/>
                <w:szCs w:val="21"/>
                <w:u w:val="single"/>
                <w:lang w:val="en-US" w:eastAsia="zh-CN"/>
              </w:rPr>
              <w:t>台</w:t>
            </w:r>
            <w:r>
              <w:rPr>
                <w:rFonts w:hint="eastAsia"/>
                <w:szCs w:val="21"/>
                <w:u w:val="single"/>
              </w:rPr>
              <w:t>秤、配</w:t>
            </w:r>
            <w:r>
              <w:rPr>
                <w:szCs w:val="21"/>
                <w:u w:val="single"/>
              </w:rPr>
              <w:t>送</w:t>
            </w:r>
            <w:r>
              <w:rPr>
                <w:rFonts w:hint="eastAsia"/>
                <w:szCs w:val="21"/>
                <w:u w:val="single"/>
              </w:rPr>
              <w:t>车辆</w:t>
            </w:r>
            <w:r>
              <w:rPr>
                <w:rFonts w:hint="eastAsia"/>
                <w:szCs w:val="21"/>
                <w:u w:val="single"/>
                <w:lang w:val="en-US" w:eastAsia="zh-CN"/>
              </w:rPr>
              <w:t>、灭火器</w:t>
            </w:r>
            <w:r>
              <w:rPr>
                <w:rFonts w:hint="eastAsia"/>
                <w:u w:val="single"/>
              </w:rPr>
              <w:t>（列举2~4种）</w:t>
            </w:r>
          </w:p>
          <w:p>
            <w:pPr>
              <w:widowControl/>
              <w:spacing w:before="40"/>
              <w:jc w:val="left"/>
              <w:rPr>
                <w:color w:val="000000"/>
              </w:rPr>
            </w:pPr>
            <w:r>
              <w:rPr>
                <w:rFonts w:hint="eastAsia"/>
                <w:color w:val="000000"/>
              </w:rPr>
              <w:t>动力设施和辅助设施的状况，存在下列的场所：</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color w:val="000000"/>
              </w:rPr>
              <w:sym w:font="Wingdings" w:char="00A8"/>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color w:val="000000"/>
              </w:rPr>
            </w:pPr>
            <w:r>
              <w:rPr>
                <w:color w:val="000000"/>
              </w:rPr>
              <w:sym w:font="Wingdings" w:char="00A8"/>
            </w:r>
            <w:r>
              <w:rPr>
                <w:rFonts w:hint="eastAsia"/>
                <w:color w:val="000000"/>
              </w:rPr>
              <w:t xml:space="preserve">消防泵房   </w:t>
            </w:r>
            <w:r>
              <w:rPr>
                <w:rFonts w:hint="eastAsia"/>
              </w:rPr>
              <w:t>□</w:t>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改建/扩建施工现场</w:t>
            </w:r>
            <w:r>
              <w:rPr>
                <w:rFonts w:hint="eastAsia"/>
              </w:rPr>
              <w:t>□</w:t>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FE"/>
            </w:r>
            <w:r>
              <w:rPr>
                <w:rFonts w:hint="eastAsia"/>
                <w:color w:val="000000"/>
              </w:rPr>
              <w:t xml:space="preserve">其他——不涉及 </w:t>
            </w:r>
          </w:p>
          <w:p/>
          <w:p>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不适用  </w:t>
            </w:r>
          </w:p>
          <w:p>
            <w:pPr>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不涉及         </w:t>
            </w:r>
          </w:p>
          <w:p>
            <w:pPr>
              <w:rPr>
                <w:color w:val="000000"/>
                <w:szCs w:val="21"/>
              </w:rPr>
            </w:pPr>
          </w:p>
          <w:p>
            <w:pPr>
              <w:numPr>
                <w:ilvl w:val="0"/>
                <w:numId w:val="4"/>
              </w:numPr>
              <w:rPr>
                <w:color w:val="000000"/>
                <w:szCs w:val="21"/>
                <w:u w:val="single"/>
              </w:rPr>
            </w:pPr>
            <w:r>
              <w:rPr>
                <w:rFonts w:hint="eastAsia"/>
                <w:color w:val="000000"/>
                <w:szCs w:val="21"/>
              </w:rPr>
              <w:t>还存在哪些局限和不足：</w:t>
            </w:r>
            <w:r>
              <w:rPr>
                <w:rFonts w:hint="eastAsia"/>
                <w:color w:val="000000"/>
                <w:szCs w:val="21"/>
                <w:u w:val="single"/>
              </w:rPr>
              <w:t xml:space="preserve">         无                          </w:t>
            </w:r>
          </w:p>
          <w:p>
            <w:pPr>
              <w:numPr>
                <w:ilvl w:val="0"/>
                <w:numId w:val="3"/>
              </w:numPr>
            </w:pPr>
            <w:r>
              <w:rPr>
                <w:rFonts w:hint="eastAsia"/>
                <w:color w:val="000000"/>
                <w:szCs w:val="21"/>
              </w:rPr>
              <w:t>需要从外部供方获得的资源：</w:t>
            </w:r>
            <w:r>
              <w:rPr>
                <w:rFonts w:hint="eastAsia"/>
              </w:rPr>
              <w:t xml:space="preserve"> </w:t>
            </w:r>
            <w:r>
              <w:rPr>
                <w:rFonts w:hint="eastAsia"/>
                <w:u w:val="single"/>
              </w:rPr>
              <w:t xml:space="preserve">    无</w:t>
            </w:r>
            <w:r>
              <w:rPr>
                <w:u w:val="single"/>
              </w:rPr>
              <w:t xml:space="preserve">    </w:t>
            </w:r>
            <w:r>
              <w:rPr>
                <w:rFonts w:hint="eastAsia"/>
                <w:u w:val="single"/>
              </w:rPr>
              <w:t xml:space="preserve"> </w:t>
            </w:r>
            <w:r>
              <w:rPr>
                <w:rFonts w:hint="eastAsia"/>
              </w:rPr>
              <w:t xml:space="preserve">                            </w:t>
            </w:r>
          </w:p>
        </w:tc>
        <w:tc>
          <w:tcPr>
            <w:tcW w:w="159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85" w:type="dxa"/>
            <w:vMerge w:val="restart"/>
            <w:shd w:val="clear" w:color="auto" w:fill="auto"/>
          </w:tcPr>
          <w:p>
            <w:r>
              <w:rPr>
                <w:rFonts w:hint="eastAsia"/>
                <w:color w:val="000000"/>
                <w:szCs w:val="21"/>
              </w:rPr>
              <w:t>人员</w:t>
            </w:r>
          </w:p>
        </w:tc>
        <w:tc>
          <w:tcPr>
            <w:tcW w:w="938" w:type="dxa"/>
            <w:vMerge w:val="restart"/>
            <w:shd w:val="clear" w:color="auto" w:fill="auto"/>
          </w:tcPr>
          <w:p>
            <w:pPr>
              <w:rPr>
                <w:color w:val="000000"/>
                <w:szCs w:val="21"/>
              </w:rPr>
            </w:pPr>
            <w:r>
              <w:rPr>
                <w:rFonts w:hint="eastAsia"/>
                <w:color w:val="000000"/>
                <w:szCs w:val="21"/>
              </w:rPr>
              <w:t>F7.1.1</w:t>
            </w:r>
          </w:p>
          <w:p>
            <w:pPr>
              <w:rPr>
                <w:color w:val="000000"/>
                <w:szCs w:val="21"/>
              </w:rPr>
            </w:pPr>
            <w:r>
              <w:rPr>
                <w:rFonts w:hint="eastAsia"/>
                <w:color w:val="000000"/>
                <w:szCs w:val="21"/>
              </w:rPr>
              <w:t>F7.1.2</w:t>
            </w:r>
          </w:p>
          <w:p>
            <w:pPr>
              <w:pStyle w:val="9"/>
            </w:pPr>
          </w:p>
          <w:p>
            <w:pPr>
              <w:rPr>
                <w:color w:val="000000"/>
                <w:szCs w:val="21"/>
              </w:rPr>
            </w:pPr>
          </w:p>
        </w:tc>
        <w:tc>
          <w:tcPr>
            <w:tcW w:w="745" w:type="dxa"/>
            <w:gridSpan w:val="2"/>
            <w:shd w:val="clear" w:color="auto" w:fill="auto"/>
          </w:tcPr>
          <w:p>
            <w:r>
              <w:rPr>
                <w:rFonts w:hint="eastAsia"/>
              </w:rPr>
              <w:t>文件名称</w:t>
            </w:r>
          </w:p>
        </w:tc>
        <w:tc>
          <w:tcPr>
            <w:tcW w:w="9249" w:type="dxa"/>
            <w:gridSpan w:val="2"/>
            <w:shd w:val="clear" w:color="auto" w:fill="auto"/>
          </w:tcPr>
          <w:p>
            <w:r>
              <w:rPr>
                <w:rFonts w:hint="eastAsia"/>
              </w:rPr>
              <w:t>如：</w:t>
            </w:r>
            <w:r>
              <w:rPr/>
              <w:sym w:font="Wingdings" w:char="00FE"/>
            </w:r>
            <w:r>
              <w:rPr>
                <w:rFonts w:hint="eastAsia"/>
              </w:rPr>
              <w:t xml:space="preserve">手册第7.1.1、7.1.2条款  </w:t>
            </w:r>
            <w:r>
              <w:rPr/>
              <w:sym w:font="Wingdings" w:char="00FE"/>
            </w:r>
            <w:r>
              <w:rPr>
                <w:rFonts w:hint="eastAsia"/>
              </w:rPr>
              <w:t>《人力资源</w:t>
            </w:r>
            <w:r>
              <w:rPr>
                <w:rFonts w:hint="eastAsia"/>
                <w:lang w:val="en-US" w:eastAsia="zh-CN"/>
              </w:rPr>
              <w:t>管理</w:t>
            </w:r>
            <w:r>
              <w:rPr>
                <w:rFonts w:hint="eastAsia"/>
              </w:rPr>
              <w:t>程序》</w:t>
            </w:r>
          </w:p>
        </w:tc>
        <w:tc>
          <w:tcPr>
            <w:tcW w:w="1597" w:type="dxa"/>
            <w:gridSpan w:val="2"/>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78" w:hRule="atLeast"/>
        </w:trPr>
        <w:tc>
          <w:tcPr>
            <w:tcW w:w="2185" w:type="dxa"/>
            <w:vMerge w:val="continue"/>
            <w:shd w:val="clear" w:color="auto" w:fill="auto"/>
          </w:tcPr>
          <w:p/>
        </w:tc>
        <w:tc>
          <w:tcPr>
            <w:tcW w:w="938" w:type="dxa"/>
            <w:vMerge w:val="continue"/>
            <w:shd w:val="clear" w:color="auto" w:fill="auto"/>
          </w:tcPr>
          <w:p/>
        </w:tc>
        <w:tc>
          <w:tcPr>
            <w:tcW w:w="745" w:type="dxa"/>
            <w:gridSpan w:val="2"/>
            <w:shd w:val="clear" w:color="auto" w:fill="auto"/>
          </w:tcPr>
          <w:p>
            <w:r>
              <w:rPr>
                <w:rFonts w:hint="eastAsia"/>
              </w:rPr>
              <w:t>运行证据</w:t>
            </w:r>
          </w:p>
        </w:tc>
        <w:tc>
          <w:tcPr>
            <w:tcW w:w="9249" w:type="dxa"/>
            <w:gridSpan w:val="2"/>
            <w:shd w:val="clear" w:color="auto" w:fill="auto"/>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rFonts w:hint="default" w:eastAsia="宋体"/>
                      <w:color w:val="000000"/>
                      <w:szCs w:val="21"/>
                      <w:lang w:val="en-US" w:eastAsia="zh-CN"/>
                    </w:rPr>
                  </w:pPr>
                  <w:r>
                    <w:rPr>
                      <w:rFonts w:hint="eastAsia"/>
                      <w:color w:val="000000"/>
                      <w:szCs w:val="21"/>
                      <w:lang w:val="en-US" w:eastAsia="zh-CN"/>
                    </w:rPr>
                    <w:t>3</w:t>
                  </w:r>
                </w:p>
              </w:tc>
              <w:tc>
                <w:tcPr>
                  <w:tcW w:w="1292" w:type="dxa"/>
                </w:tcPr>
                <w:p>
                  <w:pPr>
                    <w:rPr>
                      <w:color w:val="000000"/>
                      <w:szCs w:val="21"/>
                    </w:rPr>
                  </w:pPr>
                  <w:r>
                    <w:rPr>
                      <w:rFonts w:hint="eastAsia"/>
                      <w:color w:val="000000"/>
                      <w:szCs w:val="21"/>
                    </w:rPr>
                    <w:t>0</w:t>
                  </w:r>
                </w:p>
              </w:tc>
              <w:tc>
                <w:tcPr>
                  <w:tcW w:w="1292" w:type="dxa"/>
                </w:tcPr>
                <w:p>
                  <w:pPr>
                    <w:rPr>
                      <w:rFonts w:hint="default" w:eastAsia="宋体"/>
                      <w:color w:val="000000"/>
                      <w:szCs w:val="21"/>
                      <w:lang w:val="en-US" w:eastAsia="zh-CN"/>
                    </w:rPr>
                  </w:pPr>
                  <w:r>
                    <w:rPr>
                      <w:rFonts w:hint="eastAsia"/>
                      <w:color w:val="000000"/>
                      <w:szCs w:val="21"/>
                      <w:lang w:val="en-US" w:eastAsia="zh-CN"/>
                    </w:rPr>
                    <w:t>7</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rFonts w:hint="default" w:eastAsia="宋体"/>
                      <w:color w:val="000000"/>
                      <w:szCs w:val="21"/>
                      <w:lang w:val="en-US" w:eastAsia="zh-CN"/>
                    </w:rPr>
                  </w:pPr>
                  <w:r>
                    <w:rPr>
                      <w:rFonts w:hint="eastAsia"/>
                      <w:color w:val="000000"/>
                      <w:szCs w:val="21"/>
                      <w:lang w:val="en-US" w:eastAsia="zh-CN"/>
                    </w:rPr>
                    <w:t>10</w:t>
                  </w:r>
                </w:p>
              </w:tc>
            </w:tr>
          </w:tbl>
          <w:p>
            <w:pPr>
              <w:rPr>
                <w:rFonts w:hint="default" w:eastAsia="宋体"/>
                <w:lang w:val="en-US" w:eastAsia="zh-CN"/>
              </w:rPr>
            </w:pPr>
          </w:p>
          <w:p>
            <w:pPr>
              <w:pStyle w:val="9"/>
            </w:pPr>
          </w:p>
          <w:p>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否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年</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r>
                    <w:rPr>
                      <w:rFonts w:hint="eastAsia"/>
                    </w:rPr>
                    <w:t>负责建立和保持管理体系</w:t>
                  </w:r>
                </w:p>
              </w:tc>
              <w:tc>
                <w:tcPr>
                  <w:tcW w:w="3015" w:type="dxa"/>
                  <w:shd w:val="clear" w:color="auto" w:fill="auto"/>
                </w:tcPr>
                <w:p/>
              </w:tc>
            </w:tr>
          </w:tbl>
          <w:p>
            <w:r>
              <w:rPr>
                <w:rFonts w:hint="eastAsia"/>
              </w:rPr>
              <w:t xml:space="preserve">        </w:t>
            </w: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 xml:space="preserve">否 </w:t>
            </w:r>
            <w:r>
              <w:rPr>
                <w:rFonts w:hint="eastAsia"/>
                <w:color w:val="0000FF"/>
              </w:rPr>
              <w:t>（</w:t>
            </w:r>
            <w:r>
              <w:rPr>
                <w:rFonts w:hint="eastAsia"/>
                <w:color w:val="0000FF"/>
                <w:lang w:eastAsia="zh-CN"/>
              </w:rPr>
              <w:t>——</w:t>
            </w:r>
            <w:r>
              <w:rPr>
                <w:rFonts w:hint="eastAsia"/>
                <w:color w:val="0000FF"/>
              </w:rPr>
              <w:t>不涉及）</w:t>
            </w:r>
          </w:p>
          <w:p>
            <w:r>
              <w:rPr>
                <w:rFonts w:hint="eastAsia"/>
              </w:rPr>
              <w:t xml:space="preserve">    </w:t>
            </w:r>
          </w:p>
        </w:tc>
        <w:tc>
          <w:tcPr>
            <w:tcW w:w="159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185" w:type="dxa"/>
            <w:vMerge w:val="restart"/>
            <w:shd w:val="clear" w:color="auto" w:fill="auto"/>
          </w:tcPr>
          <w:p>
            <w:r>
              <w:rPr>
                <w:rFonts w:hint="eastAsia"/>
              </w:rPr>
              <w:t xml:space="preserve">沟通  </w:t>
            </w:r>
          </w:p>
        </w:tc>
        <w:tc>
          <w:tcPr>
            <w:tcW w:w="939" w:type="dxa"/>
            <w:gridSpan w:val="2"/>
            <w:vMerge w:val="restart"/>
            <w:shd w:val="clear" w:color="auto" w:fill="auto"/>
          </w:tcPr>
          <w:p>
            <w:r>
              <w:rPr>
                <w:rFonts w:hint="eastAsia"/>
                <w:lang w:val="en-US" w:eastAsia="zh-CN"/>
              </w:rPr>
              <w:t>F</w:t>
            </w:r>
            <w:r>
              <w:rPr>
                <w:rFonts w:hint="eastAsia"/>
              </w:rPr>
              <w:t>7.4</w:t>
            </w:r>
          </w:p>
          <w:p>
            <w:pPr>
              <w:pStyle w:val="13"/>
              <w:rPr>
                <w:rFonts w:hint="default"/>
                <w:lang w:val="en-US" w:eastAsia="zh-CN"/>
              </w:rPr>
            </w:pPr>
          </w:p>
        </w:tc>
        <w:tc>
          <w:tcPr>
            <w:tcW w:w="745" w:type="dxa"/>
            <w:gridSpan w:val="2"/>
            <w:shd w:val="clear" w:color="auto" w:fill="auto"/>
          </w:tcPr>
          <w:p>
            <w:r>
              <w:rPr>
                <w:rFonts w:hint="eastAsia"/>
              </w:rPr>
              <w:t>文件名称</w:t>
            </w:r>
          </w:p>
        </w:tc>
        <w:tc>
          <w:tcPr>
            <w:tcW w:w="9260" w:type="dxa"/>
            <w:gridSpan w:val="2"/>
            <w:shd w:val="clear" w:color="auto" w:fill="auto"/>
          </w:tcPr>
          <w:p>
            <w:r>
              <w:rPr>
                <w:rFonts w:hint="eastAsia"/>
              </w:rPr>
              <w:t>如：</w:t>
            </w:r>
            <w:r>
              <w:rPr/>
              <w:sym w:font="Wingdings" w:char="00FE"/>
            </w:r>
            <w:r>
              <w:rPr>
                <w:rFonts w:hint="eastAsia"/>
              </w:rPr>
              <w:t>管理手册第7.4章、《沟通控制程序》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185" w:type="dxa"/>
            <w:vMerge w:val="continue"/>
            <w:shd w:val="clear" w:color="auto" w:fill="auto"/>
          </w:tcPr>
          <w:p/>
        </w:tc>
        <w:tc>
          <w:tcPr>
            <w:tcW w:w="939" w:type="dxa"/>
            <w:gridSpan w:val="2"/>
            <w:vMerge w:val="continue"/>
            <w:shd w:val="clear" w:color="auto" w:fill="auto"/>
          </w:tcPr>
          <w:p/>
        </w:tc>
        <w:tc>
          <w:tcPr>
            <w:tcW w:w="745" w:type="dxa"/>
            <w:gridSpan w:val="2"/>
            <w:shd w:val="clear" w:color="auto" w:fill="auto"/>
          </w:tcPr>
          <w:p>
            <w:r>
              <w:rPr>
                <w:rFonts w:hint="eastAsia"/>
              </w:rPr>
              <w:t>运行证据</w:t>
            </w:r>
          </w:p>
        </w:tc>
        <w:tc>
          <w:tcPr>
            <w:tcW w:w="9260" w:type="dxa"/>
            <w:gridSpan w:val="2"/>
            <w:shd w:val="clear" w:color="auto" w:fill="auto"/>
          </w:tcPr>
          <w:p>
            <w:r>
              <w:rPr>
                <w:rFonts w:hint="eastAsia"/>
              </w:rPr>
              <w:t>组织考虑了合规义务，确保</w:t>
            </w:r>
            <w:r>
              <w:rPr>
                <w:rFonts w:hint="eastAsia"/>
                <w:lang w:val="en-US" w:eastAsia="zh-CN"/>
              </w:rPr>
              <w:t>食品安全</w:t>
            </w:r>
            <w:r>
              <w:rPr>
                <w:rFonts w:hint="eastAsia"/>
              </w:rPr>
              <w:t>信息与管理体系形成的信息一致且真实可信。一般</w:t>
            </w:r>
            <w:r>
              <w:rPr>
                <w:rFonts w:hint="eastAsia"/>
                <w:lang w:val="en-US" w:eastAsia="zh-CN"/>
              </w:rPr>
              <w:t>由食品安全小组组长</w:t>
            </w:r>
            <w:r>
              <w:rPr>
                <w:rFonts w:hint="eastAsia"/>
              </w:rPr>
              <w:t>负责。</w:t>
            </w:r>
          </w:p>
          <w:p>
            <w:r>
              <w:rPr>
                <w:rFonts w:hint="eastAsia"/>
              </w:rPr>
              <w:t xml:space="preserve">外部沟通的控制对象：☑市场监督管理局 </w:t>
            </w:r>
            <w:r>
              <w:t xml:space="preserve"> </w:t>
            </w:r>
            <w:r>
              <w:rPr>
                <w:rFonts w:hint="eastAsia"/>
              </w:rPr>
              <w:sym w:font="Wingdings" w:char="00A8"/>
            </w:r>
            <w:r>
              <w:rPr>
                <w:rFonts w:hint="eastAsia"/>
              </w:rPr>
              <w:t xml:space="preserve">消防大队 ☑顾客 ☑供方 </w:t>
            </w:r>
            <w:r>
              <w:rPr>
                <w:color w:val="000000"/>
              </w:rPr>
              <w:sym w:font="Wingdings" w:char="00A8"/>
            </w:r>
            <w:r>
              <w:rPr>
                <w:rFonts w:hint="eastAsia"/>
              </w:rPr>
              <w:t>外包方 □网站</w:t>
            </w:r>
          </w:p>
          <w:p/>
          <w:p>
            <w:pPr>
              <w:rPr>
                <w:rFonts w:hint="eastAsia"/>
              </w:rPr>
            </w:pPr>
            <w:r>
              <w:rPr>
                <w:rFonts w:hint="eastAsia"/>
              </w:rPr>
              <w:t xml:space="preserve">内部沟通的控制方式：☑会议 </w:t>
            </w:r>
            <w:r>
              <w:rPr>
                <w:color w:val="000000"/>
              </w:rPr>
              <w:sym w:font="Wingdings" w:char="00FE"/>
            </w:r>
            <w:r>
              <w:rPr>
                <w:rFonts w:hint="eastAsia"/>
              </w:rPr>
              <w:t xml:space="preserve">表单传递 ☑微信 </w:t>
            </w:r>
            <w:r>
              <w:rPr>
                <w:rFonts w:hint="eastAsia"/>
                <w:lang w:eastAsia="zh-CN"/>
              </w:rPr>
              <w:t>□</w:t>
            </w:r>
            <w:r>
              <w:rPr>
                <w:rFonts w:hint="eastAsia"/>
              </w:rPr>
              <w:t>QQ</w:t>
            </w:r>
            <w:r>
              <w:rPr>
                <w:rFonts w:hint="eastAsia"/>
                <w:lang w:val="en-US" w:eastAsia="zh-CN"/>
              </w:rPr>
              <w:t xml:space="preserve">  </w:t>
            </w:r>
            <w:r>
              <w:rPr>
                <w:color w:val="000000"/>
              </w:rPr>
              <w:sym w:font="Wingdings" w:char="00A8"/>
            </w:r>
            <w:r>
              <w:rPr>
                <w:rFonts w:hint="eastAsia"/>
              </w:rPr>
              <w:t xml:space="preserve">展板 </w:t>
            </w:r>
            <w:r>
              <w:rPr>
                <w:color w:val="000000"/>
              </w:rPr>
              <w:sym w:font="Wingdings" w:char="00A8"/>
            </w:r>
            <w:r>
              <w:rPr>
                <w:rFonts w:hint="eastAsia"/>
              </w:rPr>
              <w:t>标语</w:t>
            </w:r>
          </w:p>
          <w:p>
            <w:pPr>
              <w:pStyle w:val="13"/>
              <w:rPr>
                <w:rFonts w:hint="eastAsia"/>
                <w:color w:val="000000"/>
                <w:szCs w:val="21"/>
              </w:rPr>
            </w:pPr>
          </w:p>
          <w:p>
            <w:pPr>
              <w:rPr>
                <w:rFonts w:hint="eastAsia"/>
                <w:color w:val="000000"/>
                <w:szCs w:val="21"/>
              </w:rPr>
            </w:pPr>
            <w:r>
              <w:rPr>
                <w:rFonts w:hint="eastAsia"/>
              </w:rPr>
              <w:t>经沟通了解企业内部报告的渠道：</w:t>
            </w:r>
            <w:r>
              <w:rPr>
                <w:rFonts w:hint="eastAsia"/>
              </w:rPr>
              <w:sym w:font="Wingdings" w:char="00FE"/>
            </w:r>
            <w:r>
              <w:rPr>
                <w:rFonts w:hint="eastAsia"/>
              </w:rPr>
              <w:t xml:space="preserve">口头  </w:t>
            </w:r>
            <w:r>
              <w:rPr>
                <w:rFonts w:hint="eastAsia"/>
              </w:rPr>
              <w:sym w:font="Wingdings" w:char="00FE"/>
            </w:r>
            <w:r>
              <w:rPr>
                <w:rFonts w:hint="eastAsia"/>
              </w:rPr>
              <w:t xml:space="preserve">手机/电话  </w:t>
            </w:r>
            <w:r>
              <w:rPr>
                <w:rFonts w:hint="eastAsia"/>
              </w:rPr>
              <w:sym w:font="Wingdings" w:char="00FE"/>
            </w:r>
            <w:r>
              <w:rPr>
                <w:rFonts w:hint="eastAsia"/>
              </w:rPr>
              <w:t xml:space="preserve">网络  </w:t>
            </w:r>
            <w:r>
              <w:rPr>
                <w:rFonts w:hint="eastAsia"/>
              </w:rPr>
              <w:sym w:font="Wingdings" w:char="00FE"/>
            </w:r>
            <w:r>
              <w:rPr>
                <w:rFonts w:hint="eastAsia"/>
              </w:rPr>
              <w:t xml:space="preserve">书面  </w:t>
            </w:r>
            <w:r>
              <w:rPr>
                <w:rFonts w:hint="eastAsia"/>
              </w:rPr>
              <w:sym w:font="Wingdings" w:char="00FE"/>
            </w:r>
            <w:r>
              <w:rPr>
                <w:rFonts w:hint="eastAsia"/>
              </w:rPr>
              <w:t xml:space="preserve">会议   </w:t>
            </w:r>
            <w:r>
              <w:rPr>
                <w:rFonts w:hint="eastAsia"/>
              </w:rPr>
              <w:sym w:font="Wingdings" w:char="00A8"/>
            </w:r>
            <w:r>
              <w:rPr>
                <w:rFonts w:hint="eastAsia"/>
                <w:lang w:val="en-US" w:eastAsia="zh-CN"/>
              </w:rPr>
              <w:t>意见箱</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85" w:type="dxa"/>
            <w:vMerge w:val="restart"/>
            <w:shd w:val="clear" w:color="auto" w:fill="auto"/>
          </w:tcPr>
          <w:p>
            <w:r>
              <w:rPr>
                <w:rFonts w:hint="eastAsia"/>
              </w:rPr>
              <w:t>监视、测量、分析和评价</w:t>
            </w:r>
          </w:p>
          <w:p/>
        </w:tc>
        <w:tc>
          <w:tcPr>
            <w:tcW w:w="938" w:type="dxa"/>
            <w:vMerge w:val="restart"/>
            <w:shd w:val="clear" w:color="auto" w:fill="auto"/>
          </w:tcPr>
          <w:p>
            <w:r>
              <w:rPr>
                <w:rFonts w:hint="eastAsia"/>
              </w:rPr>
              <w:t>F9.1.1</w:t>
            </w:r>
          </w:p>
          <w:p/>
        </w:tc>
        <w:tc>
          <w:tcPr>
            <w:tcW w:w="745" w:type="dxa"/>
            <w:gridSpan w:val="2"/>
            <w:shd w:val="clear" w:color="auto" w:fill="auto"/>
          </w:tcPr>
          <w:p>
            <w:r>
              <w:rPr>
                <w:rFonts w:hint="eastAsia"/>
              </w:rPr>
              <w:t>文件名称</w:t>
            </w:r>
          </w:p>
        </w:tc>
        <w:tc>
          <w:tcPr>
            <w:tcW w:w="9249" w:type="dxa"/>
            <w:gridSpan w:val="2"/>
            <w:shd w:val="clear" w:color="auto" w:fill="auto"/>
          </w:tcPr>
          <w:p>
            <w:pPr>
              <w:rPr>
                <w:b/>
                <w:bCs/>
              </w:rPr>
            </w:pPr>
            <w:r>
              <w:rPr>
                <w:rFonts w:hint="eastAsia"/>
              </w:rPr>
              <w:t>如：</w:t>
            </w:r>
            <w:r>
              <w:rPr>
                <w:rFonts w:hint="eastAsia"/>
              </w:rPr>
              <w:sym w:font="Wingdings" w:char="00FE"/>
            </w:r>
            <w:r>
              <w:rPr>
                <w:rFonts w:hint="eastAsia"/>
              </w:rPr>
              <w:t>管理手册9.1.1条款</w:t>
            </w:r>
          </w:p>
        </w:tc>
        <w:tc>
          <w:tcPr>
            <w:tcW w:w="1597"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185" w:type="dxa"/>
            <w:vMerge w:val="continue"/>
            <w:shd w:val="clear" w:color="auto" w:fill="auto"/>
          </w:tcPr>
          <w:p/>
        </w:tc>
        <w:tc>
          <w:tcPr>
            <w:tcW w:w="938" w:type="dxa"/>
            <w:vMerge w:val="continue"/>
            <w:shd w:val="clear" w:color="auto" w:fill="auto"/>
          </w:tcPr>
          <w:p/>
        </w:tc>
        <w:tc>
          <w:tcPr>
            <w:tcW w:w="745" w:type="dxa"/>
            <w:gridSpan w:val="2"/>
            <w:shd w:val="clear" w:color="auto" w:fill="auto"/>
          </w:tcPr>
          <w:p>
            <w:r>
              <w:rPr>
                <w:rFonts w:hint="eastAsia"/>
              </w:rPr>
              <w:t>运行证据</w:t>
            </w:r>
          </w:p>
        </w:tc>
        <w:tc>
          <w:tcPr>
            <w:tcW w:w="9249" w:type="dxa"/>
            <w:gridSpan w:val="2"/>
            <w:shd w:val="clear" w:color="auto" w:fill="auto"/>
          </w:tcPr>
          <w:p>
            <w:r>
              <w:rPr>
                <w:rFonts w:hint="eastAsia"/>
              </w:rPr>
              <w:t>组织对监视和测量的食品安全绩效：</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368"/>
              <w:gridCol w:w="1955"/>
              <w:gridCol w:w="1809"/>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监视和测量的对象</w:t>
                  </w:r>
                </w:p>
              </w:tc>
              <w:tc>
                <w:tcPr>
                  <w:tcW w:w="2368" w:type="dxa"/>
                </w:tcPr>
                <w:p>
                  <w:pPr>
                    <w:rPr>
                      <w:szCs w:val="21"/>
                    </w:rPr>
                  </w:pPr>
                  <w:r>
                    <w:rPr>
                      <w:rFonts w:hint="eastAsia"/>
                      <w:szCs w:val="21"/>
                    </w:rPr>
                    <w:t>监视、测量、分析和评价的方法</w:t>
                  </w:r>
                </w:p>
              </w:tc>
              <w:tc>
                <w:tcPr>
                  <w:tcW w:w="1955" w:type="dxa"/>
                </w:tcPr>
                <w:p>
                  <w:pPr>
                    <w:rPr>
                      <w:szCs w:val="21"/>
                    </w:rPr>
                  </w:pPr>
                  <w:r>
                    <w:rPr>
                      <w:rFonts w:hint="eastAsia"/>
                      <w:szCs w:val="21"/>
                    </w:rPr>
                    <w:t>监视和测量的频次和时机</w:t>
                  </w:r>
                </w:p>
              </w:tc>
              <w:tc>
                <w:tcPr>
                  <w:tcW w:w="1809" w:type="dxa"/>
                </w:tcPr>
                <w:p>
                  <w:pPr>
                    <w:rPr>
                      <w:szCs w:val="21"/>
                    </w:rPr>
                  </w:pPr>
                  <w:r>
                    <w:rPr>
                      <w:rFonts w:hint="eastAsia"/>
                      <w:szCs w:val="21"/>
                    </w:rPr>
                    <w:t>评价其食品安全绩效所依据的准则和适当的参数</w:t>
                  </w:r>
                </w:p>
              </w:tc>
              <w:tc>
                <w:tcPr>
                  <w:tcW w:w="1738" w:type="dxa"/>
                </w:tcPr>
                <w:p>
                  <w:pP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rFonts w:hint="eastAsia" w:eastAsia="宋体"/>
                      <w:szCs w:val="21"/>
                      <w:lang w:val="en-US" w:eastAsia="zh-CN"/>
                    </w:rPr>
                  </w:pPr>
                  <w:r>
                    <w:rPr>
                      <w:rFonts w:hint="eastAsia"/>
                      <w:szCs w:val="21"/>
                      <w:lang w:val="en-US" w:eastAsia="zh-CN"/>
                    </w:rPr>
                    <w:t>产品</w:t>
                  </w:r>
                </w:p>
              </w:tc>
              <w:tc>
                <w:tcPr>
                  <w:tcW w:w="2368" w:type="dxa"/>
                </w:tcPr>
                <w:p>
                  <w:pPr>
                    <w:rPr>
                      <w:rFonts w:hint="eastAsia"/>
                      <w:lang w:val="en-US" w:eastAsia="zh-CN"/>
                    </w:rPr>
                  </w:pPr>
                  <w:r>
                    <w:rPr>
                      <w:rFonts w:hint="eastAsia"/>
                      <w:lang w:val="en-US" w:eastAsia="zh-CN"/>
                    </w:rPr>
                    <w:t>预包装、散装类每年从供方索取检测报告；</w:t>
                  </w:r>
                </w:p>
                <w:p>
                  <w:pPr>
                    <w:pStyle w:val="8"/>
                    <w:ind w:left="0" w:leftChars="0" w:firstLine="0" w:firstLineChars="0"/>
                    <w:rPr>
                      <w:rFonts w:hint="default"/>
                      <w:lang w:val="en-US" w:eastAsia="zh-CN"/>
                    </w:rPr>
                  </w:pPr>
                  <w:r>
                    <w:rPr>
                      <w:rFonts w:hint="eastAsia"/>
                      <w:lang w:val="en-US" w:eastAsia="zh-CN"/>
                    </w:rPr>
                    <w:t>蔬菜/肉类：每批次索取合格证明</w:t>
                  </w:r>
                </w:p>
              </w:tc>
              <w:tc>
                <w:tcPr>
                  <w:tcW w:w="1955" w:type="dxa"/>
                </w:tcPr>
                <w:p>
                  <w:pPr>
                    <w:rPr>
                      <w:szCs w:val="21"/>
                      <w:highlight w:val="none"/>
                    </w:rPr>
                  </w:pPr>
                  <w:r>
                    <w:rPr>
                      <w:rFonts w:hint="eastAsia" w:ascii="Segoe UI Emoji" w:hAnsi="Segoe UI Emoji" w:cs="Segoe UI Emoji"/>
                      <w:color w:val="000000"/>
                      <w:sz w:val="15"/>
                      <w:szCs w:val="15"/>
                      <w:highlight w:val="none"/>
                      <w:lang w:eastAsia="zh-CN"/>
                    </w:rPr>
                    <w:t>□</w:t>
                  </w:r>
                  <w:r>
                    <w:rPr>
                      <w:rFonts w:hint="eastAsia"/>
                      <w:szCs w:val="21"/>
                      <w:highlight w:val="none"/>
                    </w:rPr>
                    <w:t>定期检查</w:t>
                  </w:r>
                </w:p>
                <w:p>
                  <w:pPr>
                    <w:rPr>
                      <w:rFonts w:hint="eastAsia" w:eastAsia="宋体"/>
                      <w:szCs w:val="21"/>
                      <w:highlight w:val="none"/>
                      <w:lang w:eastAsia="zh-CN"/>
                    </w:rPr>
                  </w:pPr>
                  <w:r>
                    <w:rPr>
                      <w:color w:val="000000"/>
                    </w:rPr>
                    <w:sym w:font="Wingdings" w:char="00FE"/>
                  </w:r>
                  <w:r>
                    <w:rPr>
                      <w:rFonts w:hint="eastAsia"/>
                      <w:szCs w:val="21"/>
                      <w:highlight w:val="none"/>
                      <w:lang w:val="en-US" w:eastAsia="zh-CN"/>
                    </w:rPr>
                    <w:t>每批</w:t>
                  </w:r>
                </w:p>
                <w:p>
                  <w:pPr>
                    <w:rPr>
                      <w:rFonts w:hint="eastAsia"/>
                      <w:szCs w:val="21"/>
                      <w:highlight w:val="none"/>
                    </w:rPr>
                  </w:pPr>
                  <w:r>
                    <w:rPr>
                      <w:rFonts w:ascii="Segoe UI Emoji" w:hAnsi="Segoe UI Emoji" w:cs="Segoe UI Emoji"/>
                      <w:color w:val="000000"/>
                      <w:sz w:val="15"/>
                      <w:szCs w:val="15"/>
                      <w:highlight w:val="none"/>
                    </w:rPr>
                    <w:t>☑</w:t>
                  </w:r>
                  <w:r>
                    <w:rPr>
                      <w:rFonts w:hint="eastAsia"/>
                      <w:color w:val="000000"/>
                      <w:szCs w:val="21"/>
                      <w:highlight w:val="none"/>
                    </w:rPr>
                    <w:t>每年</w:t>
                  </w:r>
                </w:p>
              </w:tc>
              <w:tc>
                <w:tcPr>
                  <w:tcW w:w="1809" w:type="dxa"/>
                </w:tcPr>
                <w:p>
                  <w:pPr>
                    <w:rPr>
                      <w:rFonts w:hint="default" w:eastAsia="宋体"/>
                      <w:szCs w:val="21"/>
                      <w:highlight w:val="none"/>
                      <w:lang w:val="en-US" w:eastAsia="zh-CN"/>
                    </w:rPr>
                  </w:pPr>
                  <w:r>
                    <w:rPr>
                      <w:rFonts w:hint="eastAsia"/>
                      <w:szCs w:val="21"/>
                      <w:highlight w:val="none"/>
                      <w:lang w:val="en-US" w:eastAsia="zh-CN"/>
                    </w:rPr>
                    <w:t>产品安全性标准、《危害控制计划》等</w:t>
                  </w:r>
                </w:p>
              </w:tc>
              <w:tc>
                <w:tcPr>
                  <w:tcW w:w="1738" w:type="dxa"/>
                </w:tcPr>
                <w:p>
                  <w:pPr>
                    <w:rPr>
                      <w:rFonts w:hint="eastAsia" w:eastAsia="宋体"/>
                      <w:szCs w:val="21"/>
                      <w:highlight w:val="none"/>
                      <w:lang w:eastAsia="zh-CN"/>
                    </w:rPr>
                  </w:pPr>
                  <w:r>
                    <w:rPr>
                      <w:rFonts w:hint="eastAsia" w:ascii="Segoe UI Emoji" w:hAnsi="Segoe UI Emoji" w:cs="Segoe UI Emoji"/>
                      <w:color w:val="000000"/>
                      <w:sz w:val="15"/>
                      <w:szCs w:val="15"/>
                      <w:highlight w:val="none"/>
                      <w:lang w:eastAsia="zh-CN"/>
                    </w:rPr>
                    <w:t>□</w:t>
                  </w:r>
                  <w:r>
                    <w:rPr>
                      <w:rFonts w:hint="eastAsia"/>
                      <w:szCs w:val="21"/>
                      <w:highlight w:val="none"/>
                    </w:rPr>
                    <w:t>每月</w:t>
                  </w:r>
                  <w:r>
                    <w:rPr>
                      <w:rFonts w:hint="eastAsia"/>
                      <w:color w:val="000000"/>
                      <w:szCs w:val="21"/>
                      <w:highlight w:val="none"/>
                    </w:rPr>
                    <w:t xml:space="preserve"> </w:t>
                  </w:r>
                  <w:r>
                    <w:rPr>
                      <w:color w:val="000000"/>
                    </w:rPr>
                    <w:sym w:font="Wingdings" w:char="00A8"/>
                  </w:r>
                  <w:r>
                    <w:rPr>
                      <w:rFonts w:hint="eastAsia"/>
                      <w:szCs w:val="21"/>
                      <w:highlight w:val="none"/>
                    </w:rPr>
                    <w:t xml:space="preserve">每季度 </w:t>
                  </w:r>
                  <w:r>
                    <w:rPr>
                      <w:color w:val="000000"/>
                    </w:rPr>
                    <w:sym w:font="Wingdings" w:char="00FE"/>
                  </w:r>
                  <w:r>
                    <w:rPr>
                      <w:rFonts w:hint="eastAsia"/>
                      <w:szCs w:val="21"/>
                      <w:highlight w:val="none"/>
                    </w:rPr>
                    <w:t>每年</w:t>
                  </w:r>
                  <w:r>
                    <w:rPr>
                      <w:color w:val="000000"/>
                    </w:rPr>
                    <w:sym w:font="Wingdings" w:char="00FE"/>
                  </w:r>
                  <w:r>
                    <w:rPr>
                      <w:rFonts w:hint="eastAsia"/>
                      <w:szCs w:val="21"/>
                      <w:highlight w:val="none"/>
                      <w:lang w:val="en-US" w:eastAsia="zh-CN"/>
                    </w:rPr>
                    <w:t>每批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过程</w:t>
                  </w:r>
                </w:p>
              </w:tc>
              <w:tc>
                <w:tcPr>
                  <w:tcW w:w="2368" w:type="dxa"/>
                </w:tcPr>
                <w:p>
                  <w:pPr>
                    <w:rPr>
                      <w:szCs w:val="21"/>
                    </w:rPr>
                  </w:pPr>
                  <w:r>
                    <w:rPr>
                      <w:rFonts w:hint="eastAsia"/>
                      <w:szCs w:val="21"/>
                    </w:rPr>
                    <w:t>现场巡视</w:t>
                  </w:r>
                </w:p>
                <w:p>
                  <w:pPr>
                    <w:rPr>
                      <w:szCs w:val="21"/>
                    </w:rPr>
                  </w:pPr>
                  <w:r>
                    <w:rPr>
                      <w:rFonts w:hint="eastAsia"/>
                      <w:szCs w:val="21"/>
                    </w:rPr>
                    <w:t>抽查记录</w:t>
                  </w:r>
                </w:p>
                <w:p>
                  <w:pPr>
                    <w:rPr>
                      <w:szCs w:val="21"/>
                    </w:rPr>
                  </w:pPr>
                  <w:r>
                    <w:rPr>
                      <w:rFonts w:hint="eastAsia"/>
                      <w:szCs w:val="21"/>
                    </w:rPr>
                    <w:t>对目标、供方业绩、过程业绩、满意度进行统计</w:t>
                  </w:r>
                </w:p>
              </w:tc>
              <w:tc>
                <w:tcPr>
                  <w:tcW w:w="1955" w:type="dxa"/>
                </w:tcPr>
                <w:p>
                  <w:pPr>
                    <w:rPr>
                      <w:szCs w:val="21"/>
                    </w:rPr>
                  </w:pPr>
                  <w:r>
                    <w:rPr>
                      <w:rFonts w:ascii="Segoe UI Emoji" w:hAnsi="Segoe UI Emoji" w:cs="Segoe UI Emoji"/>
                      <w:color w:val="000000"/>
                      <w:sz w:val="15"/>
                      <w:szCs w:val="15"/>
                    </w:rPr>
                    <w:t>☑</w:t>
                  </w:r>
                  <w:r>
                    <w:rPr>
                      <w:rFonts w:hint="eastAsia"/>
                      <w:szCs w:val="21"/>
                    </w:rPr>
                    <w:t>定期检查</w:t>
                  </w:r>
                </w:p>
                <w:p>
                  <w:pPr>
                    <w:rPr>
                      <w:szCs w:val="21"/>
                    </w:rPr>
                  </w:pPr>
                  <w:r>
                    <w:rPr>
                      <w:rFonts w:ascii="Segoe UI Emoji" w:hAnsi="Segoe UI Emoji" w:cs="Segoe UI Emoji"/>
                      <w:color w:val="000000"/>
                      <w:sz w:val="15"/>
                      <w:szCs w:val="15"/>
                    </w:rPr>
                    <w:t>☑</w:t>
                  </w:r>
                  <w:r>
                    <w:rPr>
                      <w:rFonts w:hint="eastAsia"/>
                      <w:szCs w:val="21"/>
                    </w:rPr>
                    <w:t>抽查</w:t>
                  </w:r>
                </w:p>
                <w:p>
                  <w:pPr>
                    <w:rPr>
                      <w:szCs w:val="21"/>
                    </w:rPr>
                  </w:pPr>
                  <w:r>
                    <w:rPr>
                      <w:rFonts w:ascii="Segoe UI Emoji" w:hAnsi="Segoe UI Emoji" w:cs="Segoe UI Emoji"/>
                      <w:color w:val="000000"/>
                      <w:sz w:val="15"/>
                      <w:szCs w:val="15"/>
                    </w:rPr>
                    <w:t>☑</w:t>
                  </w:r>
                  <w:r>
                    <w:rPr>
                      <w:rFonts w:hint="eastAsia"/>
                      <w:color w:val="000000"/>
                      <w:szCs w:val="21"/>
                    </w:rPr>
                    <w:t>每年</w:t>
                  </w:r>
                </w:p>
              </w:tc>
              <w:tc>
                <w:tcPr>
                  <w:tcW w:w="1809" w:type="dxa"/>
                </w:tcPr>
                <w:p>
                  <w:pPr>
                    <w:rPr>
                      <w:szCs w:val="21"/>
                    </w:rPr>
                  </w:pPr>
                  <w:r>
                    <w:rPr>
                      <w:rFonts w:hint="eastAsia"/>
                      <w:szCs w:val="21"/>
                      <w:lang w:eastAsia="zh-CN"/>
                    </w:rPr>
                    <w:t>《</w:t>
                  </w:r>
                  <w:r>
                    <w:rPr>
                      <w:rFonts w:hint="eastAsia"/>
                      <w:szCs w:val="21"/>
                      <w:lang w:val="en-US" w:eastAsia="zh-CN"/>
                    </w:rPr>
                    <w:t>前提方案</w:t>
                  </w:r>
                  <w:r>
                    <w:rPr>
                      <w:rFonts w:hint="eastAsia"/>
                      <w:szCs w:val="21"/>
                      <w:lang w:eastAsia="zh-CN"/>
                    </w:rPr>
                    <w:t>》、《</w:t>
                  </w:r>
                  <w:r>
                    <w:rPr>
                      <w:rFonts w:hint="eastAsia"/>
                      <w:szCs w:val="21"/>
                      <w:lang w:val="en-US" w:eastAsia="zh-CN"/>
                    </w:rPr>
                    <w:t>作业文件</w:t>
                  </w:r>
                  <w:r>
                    <w:rPr>
                      <w:rFonts w:hint="eastAsia"/>
                      <w:szCs w:val="21"/>
                      <w:lang w:eastAsia="zh-CN"/>
                    </w:rPr>
                    <w:t>》</w:t>
                  </w:r>
                  <w:r>
                    <w:rPr>
                      <w:rFonts w:hint="eastAsia"/>
                      <w:szCs w:val="21"/>
                    </w:rPr>
                    <w:t>要求等</w:t>
                  </w:r>
                </w:p>
              </w:tc>
              <w:tc>
                <w:tcPr>
                  <w:tcW w:w="1738" w:type="dxa"/>
                </w:tcPr>
                <w:p>
                  <w:pPr>
                    <w:widowControl/>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color w:val="000000"/>
                    </w:rPr>
                    <w:sym w:font="Wingdings" w:char="00A8"/>
                  </w:r>
                  <w:r>
                    <w:rPr>
                      <w:rFonts w:hint="eastAsia"/>
                      <w:szCs w:val="21"/>
                    </w:rPr>
                    <w:t xml:space="preserve">每季度 </w:t>
                  </w:r>
                  <w:r>
                    <w:rPr>
                      <w:rFonts w:hint="eastAsia" w:ascii="Segoe UI Emoji" w:hAnsi="Segoe UI Emoji" w:cs="Segoe UI Emoji"/>
                      <w:color w:val="000000"/>
                      <w:sz w:val="15"/>
                      <w:szCs w:val="15"/>
                    </w:rPr>
                    <w:t>□</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w:t>
                  </w:r>
                </w:p>
              </w:tc>
              <w:tc>
                <w:tcPr>
                  <w:tcW w:w="2368" w:type="dxa"/>
                </w:tcPr>
                <w:p>
                  <w:pPr>
                    <w:rPr>
                      <w:szCs w:val="21"/>
                    </w:rPr>
                  </w:pPr>
                  <w:r>
                    <w:rPr>
                      <w:rFonts w:hint="eastAsia"/>
                      <w:szCs w:val="21"/>
                    </w:rPr>
                    <w:t>内部审核；对内审不符合项进行分析</w:t>
                  </w:r>
                </w:p>
              </w:tc>
              <w:tc>
                <w:tcPr>
                  <w:tcW w:w="1955" w:type="dxa"/>
                </w:tcPr>
                <w:p>
                  <w:pPr>
                    <w:rPr>
                      <w:szCs w:val="21"/>
                    </w:rPr>
                  </w:pPr>
                  <w:r>
                    <w:rPr>
                      <w:rFonts w:ascii="Segoe UI Emoji" w:hAnsi="Segoe UI Emoji" w:cs="Segoe UI Emoji"/>
                      <w:color w:val="000000"/>
                      <w:sz w:val="15"/>
                      <w:szCs w:val="15"/>
                    </w:rPr>
                    <w:t>☑</w:t>
                  </w:r>
                  <w:r>
                    <w:rPr>
                      <w:rFonts w:hint="eastAsia"/>
                      <w:szCs w:val="21"/>
                    </w:rPr>
                    <w:t>按年度内审计划</w:t>
                  </w:r>
                </w:p>
                <w:p>
                  <w:pPr>
                    <w:rPr>
                      <w:szCs w:val="21"/>
                    </w:rPr>
                  </w:pPr>
                  <w:r>
                    <w:rPr>
                      <w:color w:val="000000"/>
                    </w:rPr>
                    <w:sym w:font="Wingdings" w:char="00FE"/>
                  </w:r>
                  <w:r>
                    <w:rPr>
                      <w:rFonts w:hint="eastAsia"/>
                      <w:szCs w:val="21"/>
                    </w:rPr>
                    <w:t>每年一次</w:t>
                  </w:r>
                </w:p>
                <w:p>
                  <w:pPr>
                    <w:rPr>
                      <w:szCs w:val="21"/>
                    </w:rPr>
                  </w:pPr>
                  <w:r>
                    <w:rPr>
                      <w:color w:val="000000"/>
                    </w:rPr>
                    <w:sym w:font="Wingdings" w:char="00FE"/>
                  </w:r>
                  <w:r>
                    <w:rPr>
                      <w:rFonts w:hint="eastAsia"/>
                      <w:color w:val="000000"/>
                      <w:szCs w:val="21"/>
                    </w:rPr>
                    <w:t>特殊情况增加</w:t>
                  </w:r>
                </w:p>
              </w:tc>
              <w:tc>
                <w:tcPr>
                  <w:tcW w:w="1809" w:type="dxa"/>
                </w:tcPr>
                <w:p>
                  <w:pPr>
                    <w:rPr>
                      <w:rFonts w:hint="eastAsia"/>
                    </w:rPr>
                  </w:pPr>
                  <w:r>
                    <w:rPr>
                      <w:rFonts w:hint="eastAsia"/>
                    </w:rPr>
                    <w:t>ISO22000：2018</w:t>
                  </w:r>
                </w:p>
                <w:p>
                  <w:pPr>
                    <w:pStyle w:val="8"/>
                    <w:rPr>
                      <w:rFonts w:hint="eastAsia" w:eastAsia="宋体"/>
                      <w:lang w:eastAsia="zh-CN"/>
                    </w:rPr>
                  </w:pPr>
                  <w:r>
                    <w:rPr>
                      <w:rFonts w:hint="eastAsia"/>
                      <w:szCs w:val="21"/>
                      <w:lang w:eastAsia="zh-CN"/>
                    </w:rPr>
                    <w:t>《</w:t>
                  </w:r>
                  <w:r>
                    <w:rPr>
                      <w:rFonts w:hint="eastAsia"/>
                      <w:szCs w:val="21"/>
                      <w:lang w:val="en-US" w:eastAsia="zh-CN"/>
                    </w:rPr>
                    <w:t>内审管理程序</w:t>
                  </w:r>
                  <w:r>
                    <w:rPr>
                      <w:rFonts w:hint="eastAsia"/>
                      <w:szCs w:val="21"/>
                      <w:lang w:eastAsia="zh-CN"/>
                    </w:rPr>
                    <w:t>》</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体系有效性</w:t>
                  </w:r>
                </w:p>
              </w:tc>
              <w:tc>
                <w:tcPr>
                  <w:tcW w:w="2368" w:type="dxa"/>
                </w:tcPr>
                <w:p>
                  <w:pPr>
                    <w:rPr>
                      <w:szCs w:val="21"/>
                    </w:rPr>
                  </w:pPr>
                  <w:r>
                    <w:rPr>
                      <w:rFonts w:hint="eastAsia"/>
                      <w:szCs w:val="21"/>
                    </w:rPr>
                    <w:t>管理评审，对FSMS存在的需要问题进行分析</w:t>
                  </w:r>
                </w:p>
              </w:tc>
              <w:tc>
                <w:tcPr>
                  <w:tcW w:w="1955"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r>
                    <w:rPr>
                      <w:rFonts w:ascii="Segoe UI Emoji" w:hAnsi="Segoe UI Emoji" w:cs="Segoe UI Emoji"/>
                      <w:color w:val="000000"/>
                      <w:sz w:val="15"/>
                      <w:szCs w:val="15"/>
                    </w:rPr>
                    <w:t>☑</w:t>
                  </w:r>
                  <w:r>
                    <w:rPr>
                      <w:rFonts w:hint="eastAsia"/>
                      <w:color w:val="000000"/>
                      <w:szCs w:val="21"/>
                    </w:rPr>
                    <w:t>特殊情况增加</w:t>
                  </w:r>
                </w:p>
              </w:tc>
              <w:tc>
                <w:tcPr>
                  <w:tcW w:w="1809" w:type="dxa"/>
                </w:tcPr>
                <w:p>
                  <w:pPr>
                    <w:rPr>
                      <w:rFonts w:hint="eastAsia"/>
                    </w:rPr>
                  </w:pPr>
                  <w:r>
                    <w:rPr>
                      <w:rFonts w:hint="eastAsia"/>
                    </w:rPr>
                    <w:t>ISO22000：2018</w:t>
                  </w:r>
                </w:p>
                <w:p>
                  <w:pPr>
                    <w:pStyle w:val="9"/>
                    <w:ind w:left="0" w:leftChars="0" w:firstLine="0" w:firstLineChars="0"/>
                    <w:rPr>
                      <w:rFonts w:hint="eastAsia" w:eastAsia="宋体"/>
                      <w:lang w:eastAsia="zh-CN"/>
                    </w:rPr>
                  </w:pPr>
                  <w:r>
                    <w:rPr>
                      <w:rFonts w:hint="eastAsia"/>
                      <w:lang w:eastAsia="zh-CN"/>
                    </w:rPr>
                    <w:t>《</w:t>
                  </w:r>
                  <w:r>
                    <w:rPr>
                      <w:rFonts w:hint="eastAsia"/>
                      <w:lang w:val="en-US" w:eastAsia="zh-CN"/>
                    </w:rPr>
                    <w:t>管理评审程序</w:t>
                  </w:r>
                  <w:r>
                    <w:rPr>
                      <w:rFonts w:hint="eastAsia"/>
                      <w:lang w:eastAsia="zh-CN"/>
                    </w:rPr>
                    <w:t>》</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相关方反馈</w:t>
                  </w:r>
                </w:p>
              </w:tc>
              <w:tc>
                <w:tcPr>
                  <w:tcW w:w="2368" w:type="dxa"/>
                </w:tcPr>
                <w:p>
                  <w:pPr>
                    <w:rPr>
                      <w:szCs w:val="21"/>
                    </w:rPr>
                  </w:pPr>
                  <w:r>
                    <w:rPr>
                      <w:rFonts w:hint="eastAsia"/>
                      <w:szCs w:val="21"/>
                    </w:rPr>
                    <w:t>反馈处理，对问题进行统计</w:t>
                  </w:r>
                </w:p>
              </w:tc>
              <w:tc>
                <w:tcPr>
                  <w:tcW w:w="1955"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p>
              </w:tc>
              <w:tc>
                <w:tcPr>
                  <w:tcW w:w="1809" w:type="dxa"/>
                </w:tcPr>
                <w:p>
                  <w:pPr>
                    <w:rPr>
                      <w:szCs w:val="21"/>
                    </w:rPr>
                  </w:pPr>
                  <w:r>
                    <w:rPr>
                      <w:rFonts w:hint="eastAsia"/>
                      <w:szCs w:val="21"/>
                    </w:rPr>
                    <w:t>按企业程序文件</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tc>
        <w:tc>
          <w:tcPr>
            <w:tcW w:w="159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185"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内部</w:t>
            </w:r>
            <w:r>
              <w:rPr>
                <w:rFonts w:hint="default"/>
                <w:szCs w:val="20"/>
              </w:rPr>
              <w:t>审核</w:t>
            </w:r>
          </w:p>
        </w:tc>
        <w:tc>
          <w:tcPr>
            <w:tcW w:w="938"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F9.2</w:t>
            </w:r>
          </w:p>
        </w:tc>
        <w:tc>
          <w:tcPr>
            <w:tcW w:w="745"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w:t>
            </w:r>
            <w:r>
              <w:rPr>
                <w:rFonts w:hint="default"/>
                <w:szCs w:val="20"/>
              </w:rPr>
              <w:t>件名称</w:t>
            </w:r>
          </w:p>
        </w:tc>
        <w:tc>
          <w:tcPr>
            <w:tcW w:w="9249"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t>：</w:t>
            </w:r>
            <w:r>
              <w:rPr>
                <w:rFonts w:hint="default"/>
                <w:color w:val="000000"/>
                <w:szCs w:val="20"/>
              </w:rPr>
              <w:sym w:font="Wingdings" w:char="00FE"/>
            </w:r>
            <w:r>
              <w:rPr>
                <w:rFonts w:hint="default"/>
                <w:szCs w:val="20"/>
              </w:rPr>
              <w:t>管理</w:t>
            </w:r>
            <w:r>
              <w:rPr>
                <w:rFonts w:hint="eastAsia"/>
                <w:szCs w:val="20"/>
              </w:rPr>
              <w:t>手</w:t>
            </w:r>
            <w:r>
              <w:rPr>
                <w:rFonts w:hint="default"/>
                <w:szCs w:val="20"/>
              </w:rPr>
              <w:t>册</w:t>
            </w:r>
            <w:r>
              <w:rPr>
                <w:rFonts w:hint="eastAsia"/>
                <w:szCs w:val="20"/>
              </w:rPr>
              <w:t>第9.2章、</w:t>
            </w:r>
            <w:r>
              <w:rPr>
                <w:rFonts w:hint="default"/>
                <w:color w:val="000000"/>
                <w:szCs w:val="20"/>
              </w:rPr>
              <w:sym w:font="Wingdings" w:char="00FE"/>
            </w:r>
            <w:r>
              <w:rPr>
                <w:rFonts w:hint="eastAsia"/>
                <w:color w:val="000000"/>
                <w:szCs w:val="20"/>
              </w:rPr>
              <w:t>《内部审核程序》</w:t>
            </w:r>
          </w:p>
        </w:tc>
        <w:tc>
          <w:tcPr>
            <w:tcW w:w="1597"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8" w:hRule="atLeast"/>
        </w:trPr>
        <w:tc>
          <w:tcPr>
            <w:tcW w:w="2185"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38"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45" w:type="dxa"/>
            <w:gridSpan w:val="2"/>
            <w:shd w:val="clear" w:color="auto" w:fill="auto"/>
          </w:tcPr>
          <w:p>
            <w:pPr>
              <w:keepNext w:val="0"/>
              <w:keepLines w:val="0"/>
              <w:suppressLineNumbers w:val="0"/>
              <w:spacing w:before="0" w:beforeAutospacing="0" w:after="0" w:afterAutospacing="0"/>
              <w:ind w:left="0" w:right="0"/>
              <w:rPr>
                <w:rFonts w:hint="default"/>
                <w:szCs w:val="20"/>
              </w:rPr>
            </w:pPr>
          </w:p>
        </w:tc>
        <w:tc>
          <w:tcPr>
            <w:tcW w:w="9249" w:type="dxa"/>
            <w:gridSpan w:val="2"/>
            <w:shd w:val="clear" w:color="auto" w:fill="auto"/>
          </w:tcPr>
          <w:p>
            <w:pPr>
              <w:keepNext w:val="0"/>
              <w:keepLines w:val="0"/>
              <w:widowControl/>
              <w:suppressLineNumbers w:val="0"/>
              <w:spacing w:before="40" w:beforeAutospacing="0" w:after="0" w:afterAutospacing="0"/>
              <w:ind w:left="0" w:right="0"/>
              <w:jc w:val="left"/>
              <w:rPr>
                <w:rFonts w:hint="default"/>
                <w:color w:val="000000"/>
                <w:szCs w:val="18"/>
              </w:rPr>
            </w:pPr>
            <w:r>
              <w:rPr>
                <w:rFonts w:hint="eastAsia"/>
                <w:color w:val="000000"/>
                <w:szCs w:val="21"/>
              </w:rPr>
              <w:t>☑</w:t>
            </w:r>
            <w:r>
              <w:rPr>
                <w:rFonts w:hint="eastAsia"/>
                <w:color w:val="000000"/>
                <w:szCs w:val="18"/>
              </w:rPr>
              <w:t>自管理体系建立后/</w:t>
            </w:r>
            <w:r>
              <w:rPr>
                <w:rFonts w:hint="default"/>
                <w:szCs w:val="20"/>
              </w:rPr>
              <w:sym w:font="Wingdings" w:char="00A8"/>
            </w:r>
            <w:r>
              <w:rPr>
                <w:rFonts w:hint="eastAsia"/>
                <w:szCs w:val="20"/>
              </w:rPr>
              <w:t>近一年</w:t>
            </w:r>
            <w:r>
              <w:rPr>
                <w:rFonts w:hint="eastAsia"/>
                <w:color w:val="000000"/>
                <w:szCs w:val="18"/>
              </w:rPr>
              <w:t>，于</w:t>
            </w:r>
            <w:r>
              <w:rPr>
                <w:rFonts w:hint="eastAsia"/>
                <w:color w:val="000000"/>
                <w:szCs w:val="18"/>
                <w:u w:val="single"/>
              </w:rPr>
              <w:t xml:space="preserve"> </w:t>
            </w:r>
            <w:r>
              <w:rPr>
                <w:rFonts w:hint="default"/>
                <w:color w:val="000000"/>
                <w:szCs w:val="18"/>
                <w:u w:val="single"/>
              </w:rPr>
              <w:t xml:space="preserve">  </w:t>
            </w:r>
            <w:r>
              <w:rPr>
                <w:rFonts w:hint="eastAsia"/>
                <w:color w:val="000000"/>
                <w:szCs w:val="18"/>
                <w:u w:val="single"/>
              </w:rPr>
              <w:t>20</w:t>
            </w:r>
            <w:r>
              <w:rPr>
                <w:rFonts w:hint="eastAsia"/>
                <w:color w:val="000000"/>
                <w:szCs w:val="18"/>
                <w:u w:val="single"/>
                <w:lang w:val="en-US" w:eastAsia="zh-CN"/>
              </w:rPr>
              <w:t>23</w:t>
            </w:r>
            <w:r>
              <w:rPr>
                <w:rFonts w:hint="default"/>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default"/>
                <w:color w:val="000000"/>
                <w:szCs w:val="18"/>
                <w:u w:val="single"/>
              </w:rPr>
              <w:t xml:space="preserve"> </w:t>
            </w:r>
            <w:r>
              <w:rPr>
                <w:rFonts w:hint="eastAsia"/>
                <w:color w:val="000000"/>
                <w:szCs w:val="18"/>
                <w:u w:val="single"/>
                <w:lang w:val="en-US" w:eastAsia="zh-CN"/>
              </w:rPr>
              <w:t>01</w:t>
            </w:r>
            <w:r>
              <w:rPr>
                <w:rFonts w:hint="eastAsia"/>
                <w:color w:val="000000"/>
                <w:szCs w:val="18"/>
              </w:rPr>
              <w:t>月</w:t>
            </w:r>
            <w:r>
              <w:rPr>
                <w:rFonts w:hint="eastAsia"/>
                <w:color w:val="000000"/>
                <w:szCs w:val="18"/>
                <w:u w:val="single"/>
              </w:rPr>
              <w:t xml:space="preserve"> </w:t>
            </w:r>
            <w:r>
              <w:rPr>
                <w:rFonts w:hint="default"/>
                <w:color w:val="000000"/>
                <w:szCs w:val="18"/>
                <w:u w:val="single"/>
              </w:rPr>
              <w:t xml:space="preserve"> </w:t>
            </w:r>
            <w:r>
              <w:rPr>
                <w:rFonts w:hint="eastAsia"/>
                <w:color w:val="000000"/>
                <w:szCs w:val="18"/>
                <w:u w:val="single"/>
                <w:lang w:val="en-US" w:eastAsia="zh-CN"/>
              </w:rPr>
              <w:t>20</w:t>
            </w:r>
            <w:r>
              <w:rPr>
                <w:rFonts w:hint="default"/>
                <w:color w:val="000000"/>
                <w:szCs w:val="18"/>
                <w:u w:val="single"/>
              </w:rPr>
              <w:t xml:space="preserve"> </w:t>
            </w:r>
            <w:r>
              <w:rPr>
                <w:rFonts w:hint="eastAsia"/>
                <w:color w:val="000000"/>
                <w:szCs w:val="18"/>
                <w:u w:val="single"/>
                <w:lang w:val="en-US" w:eastAsia="zh-CN"/>
              </w:rPr>
              <w:t>-21</w:t>
            </w:r>
            <w:r>
              <w:rPr>
                <w:rFonts w:hint="eastAsia"/>
                <w:color w:val="000000"/>
                <w:szCs w:val="18"/>
              </w:rPr>
              <w:t>日实施了内部审核；</w:t>
            </w:r>
          </w:p>
          <w:p>
            <w:pPr>
              <w:keepNext w:val="0"/>
              <w:keepLines w:val="0"/>
              <w:widowControl/>
              <w:suppressLineNumbers w:val="0"/>
              <w:spacing w:before="40" w:beforeAutospacing="0" w:after="0" w:afterAutospacing="0"/>
              <w:ind w:left="0" w:right="0"/>
              <w:jc w:val="left"/>
              <w:rPr>
                <w:rFonts w:hint="default"/>
                <w:color w:val="000000"/>
                <w:szCs w:val="18"/>
              </w:rPr>
            </w:pPr>
            <w:r>
              <w:rPr>
                <w:rFonts w:hint="eastAsia"/>
                <w:color w:val="000000"/>
                <w:szCs w:val="18"/>
              </w:rPr>
              <w:t>记录包括：</w:t>
            </w:r>
          </w:p>
          <w:p>
            <w:pPr>
              <w:keepNext w:val="0"/>
              <w:keepLines w:val="0"/>
              <w:widowControl/>
              <w:suppressLineNumbers w:val="0"/>
              <w:spacing w:before="40" w:beforeAutospacing="0" w:after="0" w:afterAutospacing="0"/>
              <w:ind w:left="0" w:right="0"/>
              <w:jc w:val="left"/>
              <w:rPr>
                <w:rFonts w:hint="default"/>
                <w:color w:val="000000"/>
                <w:szCs w:val="18"/>
                <w:highlight w:val="none"/>
              </w:rPr>
            </w:pPr>
            <w:r>
              <w:rPr>
                <w:rFonts w:hint="eastAsia"/>
                <w:color w:val="000000"/>
                <w:szCs w:val="18"/>
              </w:rPr>
              <w:t>《内审计划》：有</w:t>
            </w:r>
            <w:r>
              <w:rPr>
                <w:rFonts w:hint="eastAsia"/>
                <w:color w:val="000000"/>
                <w:szCs w:val="18"/>
                <w:u w:val="single"/>
              </w:rPr>
              <w:t xml:space="preserve"> </w:t>
            </w:r>
            <w:r>
              <w:rPr>
                <w:rFonts w:hint="default"/>
                <w:color w:val="000000"/>
                <w:szCs w:val="18"/>
                <w:u w:val="single"/>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《内审员证书》</w:t>
            </w:r>
            <w:r>
              <w:rPr>
                <w:rFonts w:hint="eastAsia"/>
                <w:color w:val="000000"/>
                <w:szCs w:val="18"/>
                <w:highlight w:val="none"/>
              </w:rPr>
              <w:t xml:space="preserve"> </w:t>
            </w:r>
            <w:r>
              <w:rPr>
                <w:rFonts w:hint="eastAsia"/>
                <w:color w:val="000000"/>
                <w:szCs w:val="21"/>
                <w:highlight w:val="none"/>
                <w:lang w:eastAsia="zh-CN"/>
              </w:rPr>
              <w:t>☑</w:t>
            </w:r>
            <w:r>
              <w:rPr>
                <w:rFonts w:hint="eastAsia"/>
                <w:color w:val="000000"/>
                <w:szCs w:val="21"/>
                <w:highlight w:val="none"/>
              </w:rPr>
              <w:t>有内审员培训记录</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color w:val="000000"/>
                <w:szCs w:val="21"/>
              </w:rPr>
              <w:t>☑</w:t>
            </w:r>
            <w:r>
              <w:rPr>
                <w:rFonts w:hint="eastAsia"/>
                <w:color w:val="000000"/>
                <w:szCs w:val="18"/>
              </w:rPr>
              <w:t>覆盖了全部部门</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keepNext w:val="0"/>
              <w:keepLines w:val="0"/>
              <w:widowControl/>
              <w:suppressLineNumbers w:val="0"/>
              <w:spacing w:before="40" w:beforeAutospacing="0" w:after="0" w:afterAutospacing="0"/>
              <w:ind w:left="0" w:right="0" w:firstLine="420" w:firstLineChars="200"/>
              <w:jc w:val="left"/>
              <w:rPr>
                <w:rFonts w:hint="default"/>
                <w:color w:val="000000"/>
                <w:szCs w:val="21"/>
              </w:rPr>
            </w:pPr>
            <w:r>
              <w:rPr>
                <w:rFonts w:hint="eastAsia"/>
                <w:color w:val="000000"/>
                <w:szCs w:val="21"/>
              </w:rPr>
              <w:t>☑覆盖了全部过程和条款</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keepNext w:val="0"/>
              <w:keepLines w:val="0"/>
              <w:widowControl/>
              <w:suppressLineNumbers w:val="0"/>
              <w:spacing w:before="40" w:beforeAutospacing="0" w:after="0" w:afterAutospacing="0"/>
              <w:ind w:left="0" w:right="0"/>
              <w:jc w:val="left"/>
              <w:rPr>
                <w:rFonts w:hint="default"/>
                <w:color w:val="000000"/>
                <w:szCs w:val="18"/>
              </w:rPr>
            </w:pPr>
            <w:r>
              <w:rPr>
                <w:rFonts w:hint="eastAsia"/>
                <w:color w:val="000000"/>
                <w:szCs w:val="18"/>
              </w:rPr>
              <w:t>《内审检查表》：</w:t>
            </w:r>
            <w:r>
              <w:rPr>
                <w:rFonts w:hint="eastAsia"/>
                <w:color w:val="000000"/>
                <w:szCs w:val="21"/>
              </w:rPr>
              <w:t>☑</w:t>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r>
              <w:rPr>
                <w:rFonts w:hint="eastAsia"/>
                <w:color w:val="000000"/>
                <w:szCs w:val="21"/>
                <w:u w:val="single"/>
                <w:lang w:val="en-US" w:eastAsia="zh-CN"/>
              </w:rPr>
              <w:t>但抽查发现内审检查表中审核对象不够明确，现场沟通</w:t>
            </w:r>
            <w:r>
              <w:rPr>
                <w:rFonts w:hint="eastAsia"/>
                <w:color w:val="000000"/>
                <w:szCs w:val="21"/>
                <w:u w:val="single"/>
              </w:rPr>
              <w:t xml:space="preserve">                            </w:t>
            </w:r>
          </w:p>
          <w:p>
            <w:pPr>
              <w:keepNext w:val="0"/>
              <w:keepLines w:val="0"/>
              <w:widowControl/>
              <w:suppressLineNumbers w:val="0"/>
              <w:spacing w:before="40" w:beforeAutospacing="0" w:after="0" w:afterAutospacing="0"/>
              <w:ind w:left="0" w:right="0"/>
              <w:jc w:val="left"/>
              <w:rPr>
                <w:rFonts w:hint="default"/>
                <w:color w:val="000000"/>
                <w:szCs w:val="18"/>
                <w:u w:val="single"/>
              </w:rPr>
            </w:pPr>
            <w:r>
              <w:rPr>
                <w:rFonts w:hint="eastAsia"/>
                <w:color w:val="000000"/>
                <w:szCs w:val="18"/>
              </w:rPr>
              <w:t>抽查的部门：如：</w:t>
            </w:r>
            <w:r>
              <w:rPr>
                <w:rFonts w:hint="eastAsia"/>
                <w:color w:val="000000"/>
                <w:szCs w:val="18"/>
                <w:u w:val="single"/>
              </w:rPr>
              <w:t>管理层</w:t>
            </w:r>
            <w:r>
              <w:rPr>
                <w:rFonts w:hint="eastAsia"/>
                <w:color w:val="000000"/>
                <w:szCs w:val="18"/>
                <w:u w:val="single"/>
                <w:lang w:val="en-US" w:eastAsia="zh-CN"/>
              </w:rPr>
              <w:t>/食品安全小组、综合部</w:t>
            </w:r>
            <w:bookmarkStart w:id="0" w:name="_GoBack"/>
            <w:bookmarkEnd w:id="0"/>
            <w:r>
              <w:rPr>
                <w:rFonts w:hint="eastAsia"/>
                <w:color w:val="000000"/>
                <w:szCs w:val="18"/>
                <w:u w:val="single"/>
              </w:rPr>
              <w:t xml:space="preserve">    </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color w:val="000000"/>
                <w:szCs w:val="21"/>
              </w:rPr>
              <w:t>☑</w:t>
            </w:r>
            <w:r>
              <w:rPr>
                <w:rFonts w:hint="eastAsia"/>
                <w:color w:val="000000"/>
                <w:szCs w:val="18"/>
              </w:rPr>
              <w:t>覆盖了全部部门，</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keepNext w:val="0"/>
              <w:keepLines w:val="0"/>
              <w:widowControl/>
              <w:suppressLineNumbers w:val="0"/>
              <w:spacing w:before="40" w:beforeAutospacing="0" w:after="0" w:afterAutospacing="0"/>
              <w:ind w:left="0" w:right="0" w:firstLine="420" w:firstLineChars="200"/>
              <w:jc w:val="left"/>
              <w:rPr>
                <w:rFonts w:hint="default"/>
                <w:color w:val="000000"/>
                <w:szCs w:val="21"/>
              </w:rPr>
            </w:pPr>
            <w:r>
              <w:rPr>
                <w:rFonts w:hint="eastAsia"/>
                <w:color w:val="000000"/>
                <w:szCs w:val="21"/>
              </w:rPr>
              <w:t>☑覆盖了全部过程和条款</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keepNext w:val="0"/>
              <w:keepLines w:val="0"/>
              <w:widowControl/>
              <w:suppressLineNumbers w:val="0"/>
              <w:spacing w:before="40" w:beforeAutospacing="0" w:after="0" w:afterAutospacing="0"/>
              <w:ind w:left="0" w:right="0"/>
              <w:jc w:val="left"/>
              <w:rPr>
                <w:rFonts w:hint="default"/>
                <w:color w:val="000000"/>
                <w:szCs w:val="18"/>
              </w:rPr>
            </w:pPr>
            <w:r>
              <w:rPr>
                <w:rFonts w:hint="eastAsia"/>
                <w:color w:val="000000"/>
                <w:szCs w:val="18"/>
              </w:rPr>
              <w:t>《不符合项报告》</w:t>
            </w:r>
            <w:r>
              <w:rPr>
                <w:rFonts w:hint="eastAsia"/>
                <w:color w:val="000000"/>
                <w:szCs w:val="18"/>
                <w:u w:val="single"/>
                <w:lang w:val="en-US" w:eastAsia="zh-CN"/>
              </w:rPr>
              <w:t xml:space="preserve">1 </w:t>
            </w:r>
            <w:r>
              <w:rPr>
                <w:rFonts w:hint="eastAsia"/>
                <w:color w:val="000000"/>
                <w:szCs w:val="18"/>
              </w:rPr>
              <w:t>份；</w:t>
            </w:r>
          </w:p>
          <w:p>
            <w:pPr>
              <w:keepNext w:val="0"/>
              <w:keepLines w:val="0"/>
              <w:suppressLineNumbers w:val="0"/>
              <w:autoSpaceDE w:val="0"/>
              <w:autoSpaceDN w:val="0"/>
              <w:spacing w:before="0" w:beforeAutospacing="0" w:after="0" w:afterAutospacing="0" w:line="500" w:lineRule="atLeast"/>
              <w:ind w:left="0" w:right="0" w:firstLine="330"/>
              <w:rPr>
                <w:rFonts w:hint="default"/>
                <w:color w:val="000000"/>
                <w:szCs w:val="21"/>
                <w:highlight w:val="none"/>
                <w:u w:val="single"/>
              </w:rPr>
            </w:pPr>
            <w:r>
              <w:rPr>
                <w:rFonts w:hint="eastAsia"/>
                <w:color w:val="000000"/>
                <w:szCs w:val="18"/>
              </w:rPr>
              <w:t>涉及的条款号或问题简述：</w:t>
            </w:r>
            <w:r>
              <w:rPr>
                <w:rFonts w:hint="eastAsia"/>
                <w:color w:val="000000"/>
                <w:szCs w:val="21"/>
                <w:u w:val="single"/>
              </w:rPr>
              <w:t xml:space="preserve">  </w:t>
            </w:r>
            <w:r>
              <w:rPr>
                <w:rFonts w:hint="eastAsia"/>
                <w:color w:val="000000"/>
                <w:szCs w:val="21"/>
                <w:u w:val="single"/>
                <w:lang w:val="en-US" w:eastAsia="zh-CN"/>
              </w:rPr>
              <w:t>员工未能按《洗手规程》冲净手时间不够</w:t>
            </w:r>
            <w:r>
              <w:rPr>
                <w:rFonts w:hint="eastAsia" w:ascii="宋体" w:hAnsi="宋体"/>
                <w:szCs w:val="20"/>
                <w:highlight w:val="none"/>
                <w:u w:val="single"/>
              </w:rPr>
              <w:t>；</w:t>
            </w:r>
            <w:r>
              <w:rPr>
                <w:rFonts w:hint="eastAsia" w:ascii="宋体" w:hAnsi="宋体"/>
                <w:szCs w:val="21"/>
                <w:highlight w:val="none"/>
                <w:u w:val="single"/>
              </w:rPr>
              <w:t>不符合ISO 22000:2018</w:t>
            </w:r>
            <w:r>
              <w:rPr>
                <w:rFonts w:hint="eastAsia" w:ascii="宋体" w:hAnsi="宋体"/>
                <w:szCs w:val="21"/>
                <w:highlight w:val="none"/>
                <w:u w:val="single"/>
                <w:lang w:val="en-US" w:eastAsia="zh-CN"/>
              </w:rPr>
              <w:t xml:space="preserve"> 8.2.4 - j标准 </w:t>
            </w:r>
            <w:r>
              <w:rPr>
                <w:rFonts w:hint="eastAsia" w:ascii="宋体" w:hAnsi="宋体"/>
                <w:color w:val="000000"/>
                <w:szCs w:val="24"/>
                <w:highlight w:val="none"/>
                <w:u w:val="single"/>
                <w:lang w:eastAsia="zh-CN"/>
              </w:rPr>
              <w:t>；</w:t>
            </w:r>
          </w:p>
          <w:p>
            <w:pPr>
              <w:keepNext w:val="0"/>
              <w:keepLines w:val="0"/>
              <w:widowControl/>
              <w:suppressLineNumbers w:val="0"/>
              <w:spacing w:before="40" w:beforeAutospacing="0" w:after="0" w:afterAutospacing="0"/>
              <w:ind w:left="0" w:right="0" w:firstLine="420" w:firstLineChars="200"/>
              <w:jc w:val="left"/>
              <w:rPr>
                <w:rFonts w:hint="eastAsia"/>
                <w:color w:val="000000"/>
                <w:szCs w:val="21"/>
              </w:rPr>
            </w:pPr>
          </w:p>
          <w:p>
            <w:pPr>
              <w:keepNext w:val="0"/>
              <w:keepLines w:val="0"/>
              <w:widowControl/>
              <w:suppressLineNumbers w:val="0"/>
              <w:spacing w:before="40" w:beforeAutospacing="0" w:after="0" w:afterAutospacing="0"/>
              <w:ind w:left="0" w:right="0" w:firstLine="420" w:firstLineChars="200"/>
              <w:jc w:val="left"/>
              <w:rPr>
                <w:rFonts w:hint="default"/>
                <w:szCs w:val="20"/>
              </w:rPr>
            </w:pPr>
            <w:r>
              <w:rPr>
                <w:rFonts w:hint="eastAsia"/>
                <w:color w:val="000000"/>
                <w:szCs w:val="21"/>
              </w:rPr>
              <w:t>☑</w:t>
            </w:r>
            <w:r>
              <w:rPr>
                <w:rFonts w:hint="eastAsia"/>
                <w:szCs w:val="20"/>
              </w:rPr>
              <w:t xml:space="preserve">不符合项已关闭  </w:t>
            </w:r>
            <w:r>
              <w:rPr>
                <w:rFonts w:hint="eastAsia"/>
                <w:szCs w:val="20"/>
              </w:rPr>
              <w:sym w:font="Wingdings" w:char="00A8"/>
            </w:r>
            <w:r>
              <w:rPr>
                <w:rFonts w:hint="eastAsia"/>
                <w:szCs w:val="20"/>
              </w:rPr>
              <w:t xml:space="preserve">不符合项部分关闭   </w:t>
            </w:r>
          </w:p>
          <w:p>
            <w:pPr>
              <w:keepNext w:val="0"/>
              <w:keepLines w:val="0"/>
              <w:widowControl/>
              <w:suppressLineNumbers w:val="0"/>
              <w:spacing w:before="40" w:beforeAutospacing="0" w:after="0" w:afterAutospacing="0"/>
              <w:ind w:left="0" w:right="0" w:firstLine="420" w:firstLineChars="200"/>
              <w:jc w:val="left"/>
              <w:rPr>
                <w:rFonts w:hint="default"/>
                <w:szCs w:val="20"/>
              </w:rPr>
            </w:pPr>
            <w:r>
              <w:rPr>
                <w:rFonts w:hint="eastAsia"/>
                <w:szCs w:val="20"/>
              </w:rPr>
              <w:sym w:font="Wingdings" w:char="00A8"/>
            </w:r>
            <w:r>
              <w:rPr>
                <w:rFonts w:hint="eastAsia"/>
                <w:szCs w:val="20"/>
              </w:rPr>
              <w:t>不符合项未关闭</w:t>
            </w:r>
            <w:r>
              <w:rPr>
                <w:rFonts w:hint="eastAsia"/>
                <w:color w:val="000000"/>
                <w:szCs w:val="21"/>
              </w:rPr>
              <w:t>，缺少</w:t>
            </w:r>
            <w:r>
              <w:rPr>
                <w:rFonts w:hint="eastAsia"/>
                <w:color w:val="000000"/>
                <w:szCs w:val="21"/>
                <w:u w:val="single"/>
              </w:rPr>
              <w:t xml:space="preserve">                            </w:t>
            </w:r>
          </w:p>
          <w:p>
            <w:pPr>
              <w:keepNext w:val="0"/>
              <w:keepLines w:val="0"/>
              <w:widowControl/>
              <w:suppressLineNumbers w:val="0"/>
              <w:spacing w:before="40" w:beforeAutospacing="0" w:after="0" w:afterAutospacing="0"/>
              <w:ind w:left="0" w:right="0"/>
              <w:jc w:val="left"/>
              <w:rPr>
                <w:rFonts w:hint="default"/>
                <w:szCs w:val="20"/>
              </w:rPr>
            </w:pPr>
          </w:p>
          <w:p>
            <w:pPr>
              <w:keepNext w:val="0"/>
              <w:keepLines w:val="0"/>
              <w:widowControl/>
              <w:suppressLineNumbers w:val="0"/>
              <w:spacing w:before="40" w:beforeAutospacing="0" w:after="0" w:afterAutospacing="0"/>
              <w:ind w:left="0" w:right="0"/>
              <w:jc w:val="left"/>
              <w:rPr>
                <w:rFonts w:hint="default"/>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keepNext w:val="0"/>
              <w:keepLines w:val="0"/>
              <w:widowControl/>
              <w:suppressLineNumbers w:val="0"/>
              <w:spacing w:before="40" w:beforeAutospacing="0" w:after="0" w:afterAutospacing="0"/>
              <w:ind w:left="0" w:right="0"/>
              <w:jc w:val="left"/>
              <w:rPr>
                <w:rFonts w:hint="default"/>
                <w:szCs w:val="20"/>
              </w:rPr>
            </w:pPr>
            <w:r>
              <w:rPr>
                <w:rFonts w:hint="eastAsia"/>
                <w:color w:val="000000"/>
                <w:szCs w:val="21"/>
              </w:rPr>
              <w:t>□</w:t>
            </w:r>
            <w:r>
              <w:rPr>
                <w:rFonts w:hint="eastAsia"/>
                <w:szCs w:val="20"/>
              </w:rPr>
              <w:t xml:space="preserve">体系运行有效  </w:t>
            </w:r>
            <w:r>
              <w:rPr>
                <w:rFonts w:hint="eastAsia"/>
                <w:color w:val="000000"/>
                <w:szCs w:val="21"/>
              </w:rPr>
              <w:t>☑</w:t>
            </w:r>
            <w:r>
              <w:rPr>
                <w:rFonts w:hint="eastAsia"/>
                <w:szCs w:val="20"/>
              </w:rPr>
              <w:t xml:space="preserve">体系运行基本有效   </w:t>
            </w:r>
          </w:p>
          <w:p>
            <w:pPr>
              <w:keepNext w:val="0"/>
              <w:keepLines w:val="0"/>
              <w:widowControl/>
              <w:suppressLineNumbers w:val="0"/>
              <w:spacing w:before="40" w:beforeAutospacing="0" w:after="0" w:afterAutospacing="0"/>
              <w:ind w:left="0" w:right="0"/>
              <w:jc w:val="left"/>
              <w:rPr>
                <w:rFonts w:hint="default"/>
                <w:szCs w:val="20"/>
              </w:rPr>
            </w:pPr>
            <w:r>
              <w:rPr>
                <w:rFonts w:hint="eastAsia"/>
                <w:szCs w:val="20"/>
              </w:rPr>
              <w:sym w:font="Wingdings" w:char="00A8"/>
            </w:r>
            <w:r>
              <w:rPr>
                <w:rFonts w:hint="eastAsia"/>
                <w:szCs w:val="20"/>
              </w:rPr>
              <w:t>体系运行失效</w:t>
            </w:r>
            <w:r>
              <w:rPr>
                <w:rFonts w:hint="eastAsia"/>
                <w:color w:val="000000"/>
                <w:szCs w:val="21"/>
              </w:rPr>
              <w:t>，问题</w:t>
            </w:r>
            <w:r>
              <w:rPr>
                <w:rFonts w:hint="eastAsia"/>
                <w:color w:val="000000"/>
                <w:szCs w:val="21"/>
                <w:u w:val="single"/>
              </w:rPr>
              <w:t xml:space="preserve">                            </w:t>
            </w:r>
          </w:p>
          <w:p>
            <w:pPr>
              <w:keepNext w:val="0"/>
              <w:keepLines w:val="0"/>
              <w:widowControl/>
              <w:suppressLineNumbers w:val="0"/>
              <w:spacing w:before="40" w:beforeAutospacing="0" w:after="0" w:afterAutospacing="0"/>
              <w:ind w:left="0" w:right="0"/>
              <w:jc w:val="left"/>
              <w:rPr>
                <w:rFonts w:hint="default"/>
                <w:szCs w:val="20"/>
              </w:rPr>
            </w:pPr>
          </w:p>
          <w:p>
            <w:pPr>
              <w:keepNext w:val="0"/>
              <w:keepLines w:val="0"/>
              <w:widowControl/>
              <w:suppressLineNumbers w:val="0"/>
              <w:spacing w:before="40" w:beforeAutospacing="0" w:after="0" w:afterAutospacing="0"/>
              <w:ind w:left="0" w:right="0"/>
              <w:jc w:val="left"/>
              <w:rPr>
                <w:rFonts w:hint="default"/>
                <w:color w:val="000000"/>
                <w:szCs w:val="18"/>
              </w:rPr>
            </w:pPr>
            <w:r>
              <w:rPr>
                <w:rFonts w:hint="eastAsia"/>
                <w:color w:val="000000"/>
                <w:szCs w:val="18"/>
              </w:rPr>
              <w:t>本次现场审核时，上述不符合项的纠正措施的有效性</w:t>
            </w:r>
          </w:p>
          <w:p>
            <w:pPr>
              <w:keepNext w:val="0"/>
              <w:keepLines w:val="0"/>
              <w:suppressLineNumbers w:val="0"/>
              <w:spacing w:before="0" w:beforeAutospacing="0" w:after="0" w:afterAutospacing="0"/>
              <w:ind w:left="0" w:right="0"/>
              <w:rPr>
                <w:rFonts w:hint="default"/>
                <w:szCs w:val="20"/>
              </w:rPr>
            </w:pPr>
            <w:r>
              <w:rPr>
                <w:rFonts w:hint="eastAsia"/>
                <w:color w:val="000000"/>
                <w:szCs w:val="18"/>
              </w:rPr>
              <w:sym w:font="Wingdings" w:char="00FE"/>
            </w:r>
            <w:r>
              <w:rPr>
                <w:rFonts w:hint="eastAsia"/>
                <w:color w:val="000000"/>
                <w:szCs w:val="18"/>
              </w:rPr>
              <w:t xml:space="preserve">不符合项未发生  </w:t>
            </w:r>
            <w:r>
              <w:rPr>
                <w:rFonts w:hint="eastAsia"/>
                <w:color w:val="000000"/>
                <w:szCs w:val="18"/>
              </w:rPr>
              <w:sym w:font="Wingdings" w:char="00A8"/>
            </w:r>
            <w:r>
              <w:rPr>
                <w:rFonts w:hint="eastAsia"/>
                <w:color w:val="000000"/>
                <w:szCs w:val="18"/>
              </w:rPr>
              <w:t>不符合项仍然存在</w:t>
            </w:r>
          </w:p>
        </w:tc>
        <w:tc>
          <w:tcPr>
            <w:tcW w:w="1597"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185" w:type="dxa"/>
            <w:vMerge w:val="restart"/>
            <w:shd w:val="clear" w:color="auto" w:fill="auto"/>
          </w:tcPr>
          <w:p>
            <w:r>
              <w:rPr>
                <w:rFonts w:hint="eastAsia"/>
              </w:rPr>
              <w:t>管理评审</w:t>
            </w:r>
          </w:p>
          <w:p/>
        </w:tc>
        <w:tc>
          <w:tcPr>
            <w:tcW w:w="938" w:type="dxa"/>
            <w:vMerge w:val="restart"/>
            <w:shd w:val="clear" w:color="auto" w:fill="auto"/>
          </w:tcPr>
          <w:p>
            <w:r>
              <w:rPr>
                <w:rFonts w:hint="eastAsia"/>
              </w:rPr>
              <w:t>F9.3</w:t>
            </w:r>
          </w:p>
        </w:tc>
        <w:tc>
          <w:tcPr>
            <w:tcW w:w="745" w:type="dxa"/>
            <w:gridSpan w:val="2"/>
            <w:shd w:val="clear" w:color="auto" w:fill="auto"/>
          </w:tcPr>
          <w:p>
            <w:r>
              <w:rPr>
                <w:rFonts w:hint="eastAsia"/>
              </w:rPr>
              <w:t>文件名称</w:t>
            </w:r>
          </w:p>
        </w:tc>
        <w:tc>
          <w:tcPr>
            <w:tcW w:w="9249" w:type="dxa"/>
            <w:gridSpan w:val="2"/>
            <w:shd w:val="clear" w:color="auto" w:fill="auto"/>
          </w:tcPr>
          <w:p>
            <w:r>
              <w:rPr>
                <w:rFonts w:hint="eastAsia"/>
              </w:rPr>
              <w:t>如：</w:t>
            </w:r>
            <w:r>
              <w:rPr>
                <w:rFonts w:hint="eastAsia"/>
              </w:rPr>
              <w:sym w:font="Wingdings" w:char="00FE"/>
            </w:r>
            <w:r>
              <w:rPr>
                <w:rFonts w:hint="eastAsia"/>
              </w:rPr>
              <w:t xml:space="preserve">《管理评审控制程序》 </w:t>
            </w:r>
          </w:p>
        </w:tc>
        <w:tc>
          <w:tcPr>
            <w:tcW w:w="1597"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8" w:hRule="atLeast"/>
        </w:trPr>
        <w:tc>
          <w:tcPr>
            <w:tcW w:w="2185" w:type="dxa"/>
            <w:vMerge w:val="continue"/>
            <w:shd w:val="clear" w:color="auto" w:fill="auto"/>
          </w:tcPr>
          <w:p/>
        </w:tc>
        <w:tc>
          <w:tcPr>
            <w:tcW w:w="938" w:type="dxa"/>
            <w:vMerge w:val="continue"/>
            <w:shd w:val="clear" w:color="auto" w:fill="auto"/>
          </w:tcPr>
          <w:p/>
        </w:tc>
        <w:tc>
          <w:tcPr>
            <w:tcW w:w="745" w:type="dxa"/>
            <w:gridSpan w:val="2"/>
            <w:shd w:val="clear" w:color="auto" w:fill="auto"/>
          </w:tcPr>
          <w:p>
            <w:pPr>
              <w:widowControl/>
              <w:spacing w:before="40"/>
              <w:jc w:val="left"/>
              <w:rPr>
                <w:color w:val="000000"/>
                <w:szCs w:val="18"/>
              </w:rPr>
            </w:pPr>
          </w:p>
          <w:p>
            <w:r>
              <w:rPr>
                <w:rFonts w:hint="eastAsia"/>
              </w:rPr>
              <w:t>运行证据</w:t>
            </w:r>
          </w:p>
        </w:tc>
        <w:tc>
          <w:tcPr>
            <w:tcW w:w="9249" w:type="dxa"/>
            <w:gridSpan w:val="2"/>
            <w:shd w:val="clear" w:color="auto" w:fill="auto"/>
          </w:tcPr>
          <w:p>
            <w:pPr>
              <w:widowControl/>
              <w:spacing w:before="40"/>
              <w:jc w:val="left"/>
              <w:rPr>
                <w:color w:val="000000"/>
                <w:szCs w:val="18"/>
              </w:rPr>
            </w:pPr>
            <w:r>
              <w:rPr>
                <w:rFonts w:hint="eastAsia"/>
                <w:color w:val="000000"/>
                <w:szCs w:val="18"/>
              </w:rPr>
              <w:t>自</w:t>
            </w:r>
            <w:r>
              <w:rPr/>
              <w:sym w:font="Wingdings" w:char="00A8"/>
            </w:r>
            <w:r>
              <w:rPr>
                <w:rFonts w:hint="eastAsia"/>
                <w:color w:val="000000"/>
                <w:szCs w:val="18"/>
              </w:rPr>
              <w:t>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202</w:t>
            </w:r>
            <w:r>
              <w:rPr>
                <w:rFonts w:hint="eastAsia"/>
                <w:color w:val="000000"/>
                <w:szCs w:val="18"/>
                <w:u w:val="single"/>
                <w:lang w:val="en-US" w:eastAsia="zh-CN"/>
              </w:rPr>
              <w:t>3</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2</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13</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18"/>
              </w:rPr>
              <w:t>查看</w:t>
            </w:r>
            <w:r>
              <w:rPr>
                <w:rFonts w:hint="eastAsia"/>
                <w:color w:val="000000"/>
                <w:szCs w:val="21"/>
              </w:rPr>
              <w:t xml:space="preserve">☑管理评审计划  </w:t>
            </w:r>
            <w:r>
              <w:rPr>
                <w:rFonts w:hint="eastAsia"/>
                <w:color w:val="000000"/>
                <w:szCs w:val="21"/>
                <w:lang w:eastAsia="zh-CN"/>
              </w:rPr>
              <w:t>☑</w:t>
            </w:r>
            <w:r>
              <w:rPr>
                <w:rFonts w:hint="eastAsia"/>
                <w:color w:val="000000"/>
                <w:szCs w:val="21"/>
              </w:rPr>
              <w:t>管理评审记录（工作总结</w:t>
            </w:r>
            <w:r>
              <w:rPr>
                <w:rFonts w:hint="eastAsia"/>
                <w:color w:val="000000"/>
                <w:szCs w:val="21"/>
                <w:lang w:eastAsia="zh-CN"/>
              </w:rPr>
              <w:t>，</w:t>
            </w:r>
            <w:r>
              <w:rPr>
                <w:rFonts w:hint="eastAsia"/>
                <w:color w:val="000000"/>
                <w:szCs w:val="21"/>
                <w:lang w:val="en-US" w:eastAsia="zh-CN"/>
              </w:rPr>
              <w:t>体系初导入，较为简单，后期建议改进</w:t>
            </w:r>
            <w:r>
              <w:rPr>
                <w:rFonts w:hint="eastAsia"/>
                <w:color w:val="000000"/>
                <w:szCs w:val="21"/>
              </w:rPr>
              <w:t xml:space="preserve">）  </w:t>
            </w:r>
            <w:r>
              <w:rPr>
                <w:rFonts w:hint="eastAsia"/>
                <w:color w:val="000000"/>
                <w:szCs w:val="21"/>
                <w:lang w:eastAsia="zh-CN"/>
              </w:rPr>
              <w:t>☑</w:t>
            </w:r>
            <w:r>
              <w:rPr>
                <w:rFonts w:hint="eastAsia"/>
                <w:color w:val="000000"/>
                <w:szCs w:val="21"/>
              </w:rPr>
              <w:t>管理评审纪要  ☑管理评审报告</w:t>
            </w:r>
          </w:p>
          <w:p>
            <w:pPr>
              <w:widowControl/>
              <w:spacing w:before="40"/>
              <w:jc w:val="left"/>
              <w:rPr>
                <w:color w:val="000000"/>
                <w:szCs w:val="21"/>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2"/>
              <w:gridCol w:w="1967"/>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rPr>
                      <w:color w:val="000000"/>
                      <w:szCs w:val="21"/>
                    </w:rPr>
                  </w:pPr>
                  <w:r>
                    <w:rPr>
                      <w:rFonts w:hint="eastAsia"/>
                      <w:color w:val="000000"/>
                      <w:szCs w:val="21"/>
                    </w:rPr>
                    <w:t>管理评审输入信息</w:t>
                  </w:r>
                </w:p>
              </w:tc>
              <w:tc>
                <w:tcPr>
                  <w:tcW w:w="1967" w:type="dxa"/>
                </w:tcPr>
                <w:p>
                  <w:pPr>
                    <w:widowControl/>
                    <w:spacing w:before="40"/>
                    <w:jc w:val="left"/>
                    <w:rPr>
                      <w:color w:val="000000"/>
                      <w:szCs w:val="21"/>
                    </w:rPr>
                  </w:pPr>
                  <w:r>
                    <w:rPr>
                      <w:rFonts w:hint="eastAsia"/>
                      <w:color w:val="000000"/>
                      <w:szCs w:val="21"/>
                    </w:rPr>
                    <w:t>评价</w:t>
                  </w:r>
                </w:p>
              </w:tc>
              <w:tc>
                <w:tcPr>
                  <w:tcW w:w="2294"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rPr>
                      <w:color w:val="000000"/>
                      <w:szCs w:val="21"/>
                    </w:rPr>
                  </w:pPr>
                  <w:r>
                    <w:rPr>
                      <w:rFonts w:hint="eastAsia"/>
                    </w:rPr>
                    <w:sym w:font="Wingdings" w:char="00A8"/>
                  </w:r>
                  <w:r>
                    <w:rPr>
                      <w:rFonts w:hint="eastAsia"/>
                    </w:rPr>
                    <w:t>以往管理评审所采取措施的情况；</w:t>
                  </w:r>
                </w:p>
              </w:tc>
              <w:tc>
                <w:tcPr>
                  <w:tcW w:w="1967" w:type="dxa"/>
                </w:tcPr>
                <w:p>
                  <w:pPr>
                    <w:widowControl/>
                    <w:spacing w:before="40"/>
                    <w:jc w:val="left"/>
                    <w:rPr>
                      <w:color w:val="000000"/>
                      <w:szCs w:val="21"/>
                    </w:rPr>
                  </w:pPr>
                  <w:r>
                    <w:rPr>
                      <w:rFonts w:hint="eastAsia"/>
                      <w:color w:val="000000"/>
                      <w:szCs w:val="21"/>
                      <w:lang w:eastAsia="zh-CN"/>
                    </w:rPr>
                    <w:t>□</w:t>
                  </w:r>
                  <w:r>
                    <w:rPr>
                      <w:rFonts w:hint="eastAsia"/>
                      <w:color w:val="000000"/>
                      <w:szCs w:val="21"/>
                    </w:rPr>
                    <w:t>符合 □不符合</w:t>
                  </w:r>
                </w:p>
              </w:tc>
              <w:tc>
                <w:tcPr>
                  <w:tcW w:w="2294" w:type="dxa"/>
                </w:tcPr>
                <w:p>
                  <w:pPr>
                    <w:widowControl/>
                    <w:spacing w:before="40"/>
                    <w:jc w:val="left"/>
                    <w:rPr>
                      <w:rFonts w:hint="default" w:eastAsia="宋体"/>
                      <w:color w:val="000000"/>
                      <w:szCs w:val="21"/>
                      <w:lang w:val="en-US" w:eastAsia="zh-CN"/>
                    </w:rPr>
                  </w:pPr>
                  <w:r>
                    <w:rPr>
                      <w:rFonts w:hint="eastAsia"/>
                      <w:color w:val="000000"/>
                      <w:szCs w:val="21"/>
                      <w:lang w:val="en-US" w:eastAsia="zh-CN"/>
                    </w:rPr>
                    <w:t>首次导入，不涉及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rPr>
                      <w:color w:val="000000"/>
                      <w:szCs w:val="21"/>
                    </w:rPr>
                  </w:pPr>
                  <w:r>
                    <w:rPr>
                      <w:rFonts w:hint="eastAsia"/>
                    </w:rPr>
                    <w:sym w:font="Wingdings" w:char="00FE"/>
                  </w:r>
                  <w:r>
                    <w:rPr>
                      <w:rFonts w:hint="eastAsia"/>
                    </w:rPr>
                    <w:t xml:space="preserve"> </w:t>
                  </w:r>
                  <w:r>
                    <w:rPr>
                      <w:color w:val="000000"/>
                      <w:szCs w:val="21"/>
                    </w:rPr>
                    <w:t>组织所处形势的变化</w:t>
                  </w:r>
                  <w:r>
                    <w:rPr>
                      <w:rFonts w:hint="eastAsia"/>
                    </w:rPr>
                    <w:t>；</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rFonts w:hint="default" w:eastAsia="宋体"/>
                      <w:color w:val="000000"/>
                      <w:szCs w:val="21"/>
                      <w:lang w:val="en-US" w:eastAsia="zh-CN"/>
                    </w:rPr>
                  </w:pPr>
                  <w:r>
                    <w:rPr>
                      <w:rFonts w:hint="eastAsia"/>
                      <w:color w:val="000000"/>
                      <w:szCs w:val="21"/>
                      <w:lang w:val="en-US" w:eastAsia="zh-CN"/>
                    </w:rPr>
                    <w:t>未发生较大变化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rPr>
                      <w:color w:val="000000"/>
                      <w:szCs w:val="21"/>
                    </w:rPr>
                  </w:pPr>
                  <w:r>
                    <w:rPr>
                      <w:color w:val="000000"/>
                      <w:szCs w:val="21"/>
                    </w:rPr>
                    <w:sym w:font="Wingdings" w:char="00FE"/>
                  </w:r>
                  <w:r>
                    <w:rPr>
                      <w:color w:val="000000"/>
                      <w:szCs w:val="21"/>
                    </w:rPr>
                    <w:t>发生的紧急情况、事故或撤回；</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rFonts w:hint="eastAsia" w:eastAsia="宋体"/>
                      <w:color w:val="000000"/>
                      <w:szCs w:val="21"/>
                      <w:lang w:val="en-US" w:eastAsia="zh-CN"/>
                    </w:rPr>
                  </w:pPr>
                  <w:r>
                    <w:rPr>
                      <w:rFonts w:hint="eastAsia"/>
                      <w:color w:val="000000"/>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与食品安全管理体系有关的内部和外部因素变化，包括顾客和顾客投诉；</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color w:val="000000"/>
                      <w:szCs w:val="21"/>
                    </w:rPr>
                  </w:pPr>
                  <w:r>
                    <w:rPr>
                      <w:rFonts w:hint="eastAsia"/>
                      <w:color w:val="000000"/>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rPr>
                      <w:color w:val="000000"/>
                      <w:szCs w:val="21"/>
                    </w:rPr>
                  </w:pPr>
                  <w:r>
                    <w:rPr>
                      <w:rFonts w:hint="eastAsia"/>
                      <w:color w:val="000000"/>
                      <w:szCs w:val="21"/>
                    </w:rPr>
                    <w:t>☑</w:t>
                  </w:r>
                  <w:r>
                    <w:rPr>
                      <w:rFonts w:hint="eastAsia"/>
                    </w:rPr>
                    <w:t>监视和测量结果及趋势</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rPr>
                      <w:color w:val="000000"/>
                      <w:szCs w:val="21"/>
                    </w:rPr>
                  </w:pPr>
                  <w:r>
                    <w:rPr>
                      <w:rFonts w:hint="eastAsia"/>
                      <w:color w:val="000000"/>
                      <w:szCs w:val="21"/>
                    </w:rPr>
                    <w:t>☑</w:t>
                  </w:r>
                  <w:r>
                    <w:rPr>
                      <w:color w:val="000000"/>
                      <w:szCs w:val="21"/>
                    </w:rPr>
                    <w:t>审核结果（内部和外部）包括执法检查结果</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rPr>
                      <w:color w:val="000000"/>
                      <w:szCs w:val="21"/>
                    </w:rPr>
                  </w:pPr>
                  <w:r>
                    <w:rPr>
                      <w:color w:val="000000"/>
                      <w:szCs w:val="21"/>
                    </w:rPr>
                    <w:sym w:font="Wingdings" w:char="00FE"/>
                  </w:r>
                  <w:r>
                    <w:rPr>
                      <w:color w:val="000000"/>
                      <w:szCs w:val="21"/>
                    </w:rPr>
                    <w:t>与PRP、OPRP计划和HACCP计划有关的验证活动结果的分析</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pPr>
                  <w:r>
                    <w:rPr>
                      <w:rFonts w:hint="eastAsia"/>
                      <w:color w:val="000000"/>
                      <w:szCs w:val="21"/>
                    </w:rPr>
                    <w:t>☑</w:t>
                  </w:r>
                  <w:r>
                    <w:rPr>
                      <w:color w:val="000000"/>
                      <w:szCs w:val="21"/>
                    </w:rPr>
                    <w:t>实现食品安全管理体系目标的程度</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rPr>
                      <w:color w:val="000000"/>
                      <w:szCs w:val="21"/>
                    </w:rPr>
                  </w:pPr>
                  <w:r>
                    <w:rPr>
                      <w:rFonts w:hint="eastAsia"/>
                      <w:color w:val="000000"/>
                      <w:szCs w:val="21"/>
                    </w:rPr>
                    <w:t>☑</w:t>
                  </w:r>
                  <w:r>
                    <w:rPr>
                      <w:color w:val="000000"/>
                      <w:szCs w:val="21"/>
                    </w:rPr>
                    <w:t>外部供方绩效</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pPr>
                  <w:r>
                    <w:rPr>
                      <w:rFonts w:hint="eastAsia"/>
                      <w:color w:val="000000"/>
                      <w:szCs w:val="21"/>
                    </w:rPr>
                    <w:t>☑</w:t>
                  </w:r>
                  <w:r>
                    <w:rPr>
                      <w:color w:val="000000"/>
                      <w:szCs w:val="21"/>
                    </w:rPr>
                    <w:t>紧急情况、事故或撤回</w:t>
                  </w:r>
                  <w:r>
                    <w:rPr>
                      <w:rFonts w:hint="eastAsia"/>
                      <w:color w:val="000000"/>
                      <w:szCs w:val="21"/>
                    </w:rPr>
                    <w:t>的评审</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pPr>
                  <w:r>
                    <w:rPr>
                      <w:rFonts w:hint="eastAsia"/>
                      <w:color w:val="000000"/>
                      <w:szCs w:val="21"/>
                    </w:rPr>
                    <w:t>☑</w:t>
                  </w:r>
                  <w:r>
                    <w:rPr>
                      <w:rFonts w:hint="eastAsia"/>
                    </w:rPr>
                    <w:t>资源的充分性</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widowControl/>
                    <w:spacing w:before="40"/>
                    <w:jc w:val="left"/>
                  </w:pPr>
                  <w:r>
                    <w:rPr>
                      <w:rFonts w:hint="eastAsia"/>
                      <w:color w:val="000000"/>
                      <w:szCs w:val="21"/>
                    </w:rPr>
                    <w:t>☑</w:t>
                  </w:r>
                  <w:r>
                    <w:rPr>
                      <w:color w:val="000000"/>
                      <w:szCs w:val="21"/>
                    </w:rPr>
                    <w:t>为应对风险和机遇所采取措施的有效性</w:t>
                  </w:r>
                </w:p>
              </w:tc>
              <w:tc>
                <w:tcPr>
                  <w:tcW w:w="1967" w:type="dxa"/>
                </w:tcPr>
                <w:p>
                  <w:pPr>
                    <w:widowControl/>
                    <w:spacing w:before="40"/>
                    <w:jc w:val="left"/>
                    <w:rPr>
                      <w:color w:val="000000"/>
                      <w:szCs w:val="21"/>
                    </w:rPr>
                  </w:pPr>
                  <w:r>
                    <w:rPr>
                      <w:rFonts w:hint="eastAsia"/>
                      <w:color w:val="000000"/>
                      <w:szCs w:val="21"/>
                    </w:rPr>
                    <w:t>☑符合 □不符合</w:t>
                  </w:r>
                </w:p>
              </w:tc>
              <w:tc>
                <w:tcPr>
                  <w:tcW w:w="2294" w:type="dxa"/>
                </w:tcPr>
                <w:p>
                  <w:pPr>
                    <w:widowControl/>
                    <w:spacing w:before="40"/>
                    <w:jc w:val="left"/>
                    <w:rPr>
                      <w:color w:val="000000"/>
                      <w:szCs w:val="21"/>
                    </w:rPr>
                  </w:pPr>
                </w:p>
              </w:tc>
            </w:tr>
          </w:tbl>
          <w:p>
            <w:pPr>
              <w:widowControl/>
              <w:spacing w:before="40"/>
              <w:jc w:val="left"/>
              <w:rPr>
                <w:color w:val="000000"/>
                <w:szCs w:val="21"/>
              </w:rPr>
            </w:pPr>
          </w:p>
          <w:p>
            <w:pPr>
              <w:widowControl/>
              <w:spacing w:before="40"/>
              <w:jc w:val="left"/>
              <w:rPr>
                <w:color w:val="000000"/>
                <w:szCs w:val="21"/>
                <w:highlight w:val="cyan"/>
                <w:u w:val="single"/>
              </w:rPr>
            </w:pPr>
            <w:r>
              <w:rPr>
                <w:rFonts w:hint="eastAsia"/>
                <w:color w:val="000000"/>
                <w:szCs w:val="21"/>
              </w:rPr>
              <w:t>对食品安全管理体系的持续适宜性，充分性，有效性的结论。</w:t>
            </w:r>
            <w:r>
              <w:rPr>
                <w:rFonts w:hint="eastAsia"/>
                <w:color w:val="000000"/>
                <w:szCs w:val="21"/>
                <w:lang w:eastAsia="zh-CN"/>
              </w:rPr>
              <w:t>☑</w:t>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18"/>
                    </w:rPr>
                    <w:t>管理评审输出信息（决策）</w:t>
                  </w:r>
                </w:p>
              </w:tc>
              <w:tc>
                <w:tcPr>
                  <w:tcW w:w="3695"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与持续改进机会相关的决策</w:t>
                  </w:r>
                </w:p>
              </w:tc>
              <w:tc>
                <w:tcPr>
                  <w:tcW w:w="3695" w:type="dxa"/>
                </w:tcPr>
                <w:p>
                  <w:pPr>
                    <w:widowControl/>
                    <w:jc w:val="left"/>
                    <w:rPr>
                      <w:rFonts w:hint="default"/>
                      <w:color w:val="000000"/>
                      <w:szCs w:val="21"/>
                      <w:lang w:val="en-US"/>
                    </w:rPr>
                  </w:pPr>
                  <w:r>
                    <w:rPr>
                      <w:rFonts w:hint="eastAsia"/>
                      <w:color w:val="000000"/>
                      <w:szCs w:val="21"/>
                      <w:lang w:val="en-US" w:eastAsia="zh-CN"/>
                    </w:rPr>
                    <w:t>进一步学习标准要求、深度理解公司食品安全管理体系文件规定，掀起贯标的新高潮等</w:t>
                  </w:r>
                </w:p>
              </w:tc>
              <w:tc>
                <w:tcPr>
                  <w:tcW w:w="2496" w:type="dxa"/>
                </w:tcPr>
                <w:p>
                  <w:pPr>
                    <w:widowControl/>
                    <w:spacing w:before="40"/>
                    <w:jc w:val="left"/>
                    <w:rPr>
                      <w:color w:val="000000"/>
                      <w:szCs w:val="21"/>
                    </w:rPr>
                  </w:pPr>
                  <w:r>
                    <w:rPr>
                      <w:rFonts w:hint="eastAsia"/>
                      <w:color w:val="000000"/>
                      <w:szCs w:val="21"/>
                      <w:lang w:eastAsia="zh-CN"/>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食品安全管理体系所需的变更</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lang w:eastAsia="zh-CN"/>
                    </w:rPr>
                    <w:t>□</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资源需求</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食品安全目标未实现所采取的措施。（需要时）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任何与组织战略方向相关的结论</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rPr>
                <w:highlight w:val="cyan"/>
              </w:rPr>
            </w:pPr>
          </w:p>
          <w:p>
            <w:r>
              <w:rPr>
                <w:rFonts w:hint="eastAsia"/>
              </w:rPr>
              <w:sym w:font="Wingdings" w:char="00FE"/>
            </w:r>
            <w:r>
              <w:rPr>
                <w:rFonts w:hint="eastAsia"/>
              </w:rPr>
              <w:t>改进措施未落实的原因：</w:t>
            </w:r>
            <w:r>
              <w:rPr>
                <w:rFonts w:hint="eastAsia"/>
                <w:u w:val="single"/>
              </w:rPr>
              <w:t xml:space="preserve">  </w:t>
            </w:r>
            <w:r>
              <w:rPr>
                <w:rFonts w:hint="eastAsia"/>
                <w:u w:val="single"/>
                <w:lang w:val="en-US" w:eastAsia="zh-CN"/>
              </w:rPr>
              <w:t>计划2023年3月底前完成</w:t>
            </w:r>
            <w:r>
              <w:rPr>
                <w:rFonts w:hint="eastAsia"/>
                <w:u w:val="single"/>
              </w:rPr>
              <w:t xml:space="preserve">             </w:t>
            </w:r>
          </w:p>
        </w:tc>
        <w:tc>
          <w:tcPr>
            <w:tcW w:w="159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185"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不符合</w:t>
            </w:r>
            <w:r>
              <w:rPr>
                <w:rFonts w:hint="default"/>
                <w:szCs w:val="20"/>
              </w:rPr>
              <w:t>和</w:t>
            </w:r>
            <w:r>
              <w:rPr>
                <w:rFonts w:hint="eastAsia"/>
                <w:szCs w:val="20"/>
              </w:rPr>
              <w:t>纠</w:t>
            </w:r>
            <w:r>
              <w:rPr>
                <w:rFonts w:hint="default"/>
                <w:szCs w:val="20"/>
              </w:rPr>
              <w:t>正措施</w:t>
            </w:r>
          </w:p>
        </w:tc>
        <w:tc>
          <w:tcPr>
            <w:tcW w:w="938"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F1</w:t>
            </w:r>
            <w:r>
              <w:rPr>
                <w:rFonts w:hint="default"/>
                <w:szCs w:val="20"/>
              </w:rPr>
              <w:t>0</w:t>
            </w:r>
            <w:r>
              <w:rPr>
                <w:rFonts w:hint="eastAsia"/>
                <w:szCs w:val="20"/>
              </w:rPr>
              <w:t>.1</w:t>
            </w:r>
          </w:p>
        </w:tc>
        <w:tc>
          <w:tcPr>
            <w:tcW w:w="745"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w:t>
            </w:r>
            <w:r>
              <w:rPr>
                <w:rFonts w:hint="default"/>
                <w:szCs w:val="20"/>
              </w:rPr>
              <w:t>件名称</w:t>
            </w:r>
          </w:p>
        </w:tc>
        <w:tc>
          <w:tcPr>
            <w:tcW w:w="9249"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default"/>
                <w:color w:val="000000"/>
                <w:szCs w:val="20"/>
              </w:rPr>
              <w:sym w:font="Wingdings" w:char="00FE"/>
            </w:r>
            <w:r>
              <w:rPr>
                <w:rFonts w:hint="default"/>
                <w:szCs w:val="20"/>
              </w:rPr>
              <w:t>管理</w:t>
            </w:r>
            <w:r>
              <w:rPr>
                <w:rFonts w:hint="eastAsia"/>
                <w:szCs w:val="20"/>
              </w:rPr>
              <w:t>手</w:t>
            </w:r>
            <w:r>
              <w:rPr>
                <w:rFonts w:hint="default"/>
                <w:szCs w:val="20"/>
              </w:rPr>
              <w:t>册</w:t>
            </w:r>
            <w:r>
              <w:rPr>
                <w:rFonts w:hint="eastAsia"/>
                <w:szCs w:val="20"/>
              </w:rPr>
              <w:t>第10.1章、</w:t>
            </w:r>
            <w:r>
              <w:rPr>
                <w:rFonts w:hint="default"/>
                <w:color w:val="000000"/>
                <w:szCs w:val="20"/>
              </w:rPr>
              <w:sym w:font="Wingdings" w:char="00FE"/>
            </w:r>
            <w:r>
              <w:rPr>
                <w:rFonts w:hint="eastAsia"/>
                <w:szCs w:val="20"/>
              </w:rPr>
              <w:t>《不合格品控制程序》、</w:t>
            </w:r>
            <w:r>
              <w:rPr>
                <w:rFonts w:hint="default"/>
                <w:color w:val="000000"/>
                <w:szCs w:val="20"/>
              </w:rPr>
              <w:sym w:font="Wingdings" w:char="00FE"/>
            </w:r>
            <w:r>
              <w:rPr>
                <w:rFonts w:hint="eastAsia"/>
                <w:color w:val="000000"/>
                <w:szCs w:val="20"/>
              </w:rPr>
              <w:t>《</w:t>
            </w:r>
            <w:r>
              <w:rPr>
                <w:rFonts w:hint="eastAsia" w:ascii="宋体" w:hAnsi="宋体"/>
                <w:szCs w:val="21"/>
              </w:rPr>
              <w:t>纠正与预防措施控制程序</w:t>
            </w:r>
            <w:r>
              <w:rPr>
                <w:rFonts w:hint="eastAsia"/>
                <w:color w:val="000000"/>
                <w:szCs w:val="20"/>
              </w:rPr>
              <w:t>》</w:t>
            </w:r>
          </w:p>
        </w:tc>
        <w:tc>
          <w:tcPr>
            <w:tcW w:w="1597"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1" w:hRule="atLeast"/>
        </w:trPr>
        <w:tc>
          <w:tcPr>
            <w:tcW w:w="2185"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38"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45" w:type="dxa"/>
            <w:gridSpan w:val="2"/>
            <w:shd w:val="clear" w:color="auto" w:fill="auto"/>
          </w:tcPr>
          <w:p>
            <w:pPr>
              <w:keepNext w:val="0"/>
              <w:keepLines w:val="0"/>
              <w:suppressLineNumbers w:val="0"/>
              <w:spacing w:before="0" w:beforeAutospacing="0" w:after="0" w:afterAutospacing="0"/>
              <w:ind w:left="0" w:right="0"/>
              <w:rPr>
                <w:rFonts w:hint="default"/>
                <w:szCs w:val="20"/>
              </w:rPr>
            </w:pPr>
          </w:p>
        </w:tc>
        <w:tc>
          <w:tcPr>
            <w:tcW w:w="9249"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不符合的来源：</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 xml:space="preserve"> 相关方投诉   </w:t>
            </w:r>
            <w:r>
              <w:rPr>
                <w:rFonts w:hint="eastAsia"/>
                <w:szCs w:val="20"/>
              </w:rPr>
              <w:sym w:font="Wingdings" w:char="00A8"/>
            </w:r>
            <w:r>
              <w:rPr>
                <w:rFonts w:hint="eastAsia"/>
                <w:szCs w:val="20"/>
              </w:rPr>
              <w:t xml:space="preserve">产品检查中出现的问题   </w:t>
            </w:r>
            <w:r>
              <w:rPr>
                <w:rFonts w:hint="eastAsia"/>
                <w:szCs w:val="20"/>
              </w:rPr>
              <w:sym w:font="Wingdings" w:char="00A8"/>
            </w:r>
            <w:r>
              <w:rPr>
                <w:rFonts w:hint="eastAsia"/>
                <w:szCs w:val="20"/>
              </w:rPr>
              <w:t xml:space="preserve">工作运行中的问题  </w:t>
            </w:r>
            <w:r>
              <w:rPr>
                <w:rFonts w:hint="eastAsia"/>
                <w:szCs w:val="20"/>
              </w:rPr>
              <w:sym w:font="Wingdings" w:char="00A8"/>
            </w:r>
            <w:r>
              <w:rPr>
                <w:rFonts w:hint="eastAsia"/>
                <w:szCs w:val="20"/>
              </w:rPr>
              <w:t xml:space="preserve">内审  </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u w:val="single"/>
              </w:rPr>
            </w:pPr>
            <w:r>
              <w:rPr>
                <w:rFonts w:hint="eastAsia"/>
                <w:szCs w:val="20"/>
              </w:rPr>
              <w:t>抽查采取纠正措施相关记录名称：</w:t>
            </w:r>
            <w:r>
              <w:rPr>
                <w:rFonts w:hint="eastAsia"/>
                <w:szCs w:val="20"/>
                <w:u w:val="single"/>
              </w:rPr>
              <w:t xml:space="preserve"> </w:t>
            </w:r>
            <w:r>
              <w:rPr>
                <w:rFonts w:hint="default"/>
                <w:szCs w:val="20"/>
                <w:u w:val="single"/>
              </w:rPr>
              <w:t xml:space="preserve">    </w:t>
            </w:r>
            <w:r>
              <w:rPr>
                <w:rFonts w:hint="eastAsia"/>
                <w:color w:val="0000FF"/>
                <w:szCs w:val="20"/>
                <w:u w:val="single"/>
              </w:rPr>
              <w:t>《</w:t>
            </w:r>
            <w:r>
              <w:rPr>
                <w:rFonts w:hint="eastAsia"/>
                <w:color w:val="0000FF"/>
                <w:szCs w:val="20"/>
                <w:u w:val="single"/>
                <w:lang w:eastAsia="zh-CN"/>
              </w:rPr>
              <w:t>——</w:t>
            </w:r>
            <w:r>
              <w:rPr>
                <w:rFonts w:hint="eastAsia"/>
                <w:color w:val="0000FF"/>
                <w:szCs w:val="20"/>
                <w:u w:val="single"/>
                <w:lang w:val="en-US" w:eastAsia="zh-CN"/>
              </w:rPr>
              <w:t>审核周期内未发生</w:t>
            </w:r>
            <w:r>
              <w:rPr>
                <w:rFonts w:hint="eastAsia"/>
                <w:color w:val="0000FF"/>
                <w:szCs w:val="20"/>
                <w:u w:val="single"/>
              </w:rPr>
              <w:t>》</w:t>
            </w:r>
            <w:r>
              <w:rPr>
                <w:rFonts w:hint="default"/>
                <w:color w:val="0000FF"/>
                <w:szCs w:val="20"/>
                <w:u w:val="single"/>
              </w:rPr>
              <w:t xml:space="preserve"> </w:t>
            </w:r>
            <w:r>
              <w:rPr>
                <w:rFonts w:hint="default"/>
                <w:szCs w:val="20"/>
                <w:u w:val="single"/>
              </w:rPr>
              <w:t xml:space="preserve">     </w:t>
            </w:r>
            <w:r>
              <w:rPr>
                <w:rFonts w:hint="eastAsia"/>
                <w:szCs w:val="20"/>
                <w:u w:val="single"/>
              </w:rPr>
              <w:t xml:space="preserve">  </w:t>
            </w:r>
            <w:r>
              <w:rPr>
                <w:rFonts w:hint="default"/>
                <w:szCs w:val="20"/>
                <w:u w:val="single"/>
              </w:rPr>
              <w:t xml:space="preserve"> </w:t>
            </w:r>
            <w:r>
              <w:rPr>
                <w:rFonts w:hint="eastAsia"/>
                <w:szCs w:val="20"/>
                <w:u w:val="single"/>
              </w:rPr>
              <w:t xml:space="preserve"> </w:t>
            </w:r>
          </w:p>
          <w:tbl>
            <w:tblPr>
              <w:tblStyle w:val="10"/>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33"/>
              <w:gridCol w:w="2552"/>
              <w:gridCol w:w="1559"/>
              <w:gridCol w:w="1134"/>
              <w:gridCol w:w="968"/>
            </w:tblGrid>
            <w:tr>
              <w:tblPrEx>
                <w:tblCellMar>
                  <w:top w:w="0" w:type="dxa"/>
                  <w:left w:w="108" w:type="dxa"/>
                  <w:bottom w:w="0" w:type="dxa"/>
                  <w:right w:w="108" w:type="dxa"/>
                </w:tblCellMar>
              </w:tblPrEx>
              <w:tc>
                <w:tcPr>
                  <w:tcW w:w="797"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日期</w:t>
                  </w:r>
                </w:p>
              </w:tc>
              <w:tc>
                <w:tcPr>
                  <w:tcW w:w="2033"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不符合描述</w:t>
                  </w:r>
                </w:p>
              </w:tc>
              <w:tc>
                <w:tcPr>
                  <w:tcW w:w="2552"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不符合纠正</w:t>
                  </w:r>
                </w:p>
              </w:tc>
              <w:tc>
                <w:tcPr>
                  <w:tcW w:w="1559"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原因分析</w:t>
                  </w:r>
                </w:p>
              </w:tc>
              <w:tc>
                <w:tcPr>
                  <w:tcW w:w="1134"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纠正措施</w:t>
                  </w:r>
                </w:p>
              </w:tc>
              <w:tc>
                <w:tcPr>
                  <w:tcW w:w="968"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keepNext w:val="0"/>
                    <w:keepLines w:val="0"/>
                    <w:suppressLineNumbers w:val="0"/>
                    <w:spacing w:before="0" w:beforeAutospacing="0" w:after="0" w:afterAutospacing="0"/>
                    <w:ind w:left="0" w:right="0"/>
                    <w:rPr>
                      <w:rFonts w:hint="default" w:ascii="宋体" w:hAnsi="宋体"/>
                      <w:szCs w:val="21"/>
                    </w:rPr>
                  </w:pPr>
                </w:p>
              </w:tc>
              <w:tc>
                <w:tcPr>
                  <w:tcW w:w="2033" w:type="dxa"/>
                </w:tcPr>
                <w:p>
                  <w:pPr>
                    <w:keepNext w:val="0"/>
                    <w:keepLines w:val="0"/>
                    <w:suppressLineNumbers w:val="0"/>
                    <w:autoSpaceDE w:val="0"/>
                    <w:autoSpaceDN w:val="0"/>
                    <w:adjustRightInd w:val="0"/>
                    <w:spacing w:before="0" w:beforeAutospacing="0" w:after="0" w:afterAutospacing="0" w:line="0" w:lineRule="atLeast"/>
                    <w:ind w:left="0" w:right="-27"/>
                    <w:jc w:val="left"/>
                    <w:textAlignment w:val="baseline"/>
                    <w:rPr>
                      <w:rFonts w:hint="default" w:ascii="宋体" w:hAnsi="宋体"/>
                      <w:szCs w:val="21"/>
                    </w:rPr>
                  </w:pPr>
                </w:p>
              </w:tc>
              <w:tc>
                <w:tcPr>
                  <w:tcW w:w="2552" w:type="dxa"/>
                </w:tcPr>
                <w:p>
                  <w:pPr>
                    <w:keepNext w:val="0"/>
                    <w:keepLines w:val="0"/>
                    <w:suppressLineNumbers w:val="0"/>
                    <w:autoSpaceDE w:val="0"/>
                    <w:autoSpaceDN w:val="0"/>
                    <w:adjustRightInd w:val="0"/>
                    <w:spacing w:before="0" w:beforeAutospacing="0" w:after="0" w:afterAutospacing="0" w:line="0" w:lineRule="atLeast"/>
                    <w:ind w:left="0" w:right="-27"/>
                    <w:jc w:val="left"/>
                    <w:textAlignment w:val="baseline"/>
                    <w:rPr>
                      <w:rFonts w:hint="default" w:ascii="宋体" w:hAnsi="宋体"/>
                      <w:szCs w:val="21"/>
                    </w:rPr>
                  </w:pPr>
                </w:p>
              </w:tc>
              <w:tc>
                <w:tcPr>
                  <w:tcW w:w="1559" w:type="dxa"/>
                </w:tcPr>
                <w:p>
                  <w:pPr>
                    <w:keepNext w:val="0"/>
                    <w:keepLines w:val="0"/>
                    <w:suppressLineNumbers w:val="0"/>
                    <w:spacing w:before="0" w:beforeAutospacing="0" w:after="0" w:afterAutospacing="0"/>
                    <w:ind w:left="0" w:right="0"/>
                    <w:rPr>
                      <w:rFonts w:hint="default" w:ascii="宋体" w:hAnsi="宋体"/>
                      <w:szCs w:val="21"/>
                    </w:rPr>
                  </w:pPr>
                </w:p>
              </w:tc>
              <w:tc>
                <w:tcPr>
                  <w:tcW w:w="1134" w:type="dxa"/>
                </w:tcPr>
                <w:p>
                  <w:pPr>
                    <w:keepNext w:val="0"/>
                    <w:keepLines w:val="0"/>
                    <w:suppressLineNumbers w:val="0"/>
                    <w:spacing w:before="0" w:beforeAutospacing="0" w:after="0" w:afterAutospacing="0"/>
                    <w:ind w:left="0" w:right="0"/>
                    <w:rPr>
                      <w:rFonts w:hint="default" w:ascii="宋体" w:hAnsi="宋体"/>
                      <w:szCs w:val="21"/>
                    </w:rPr>
                  </w:pPr>
                </w:p>
              </w:tc>
              <w:tc>
                <w:tcPr>
                  <w:tcW w:w="968"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keepNext w:val="0"/>
                    <w:keepLines w:val="0"/>
                    <w:suppressLineNumbers w:val="0"/>
                    <w:spacing w:before="0" w:beforeAutospacing="0" w:after="0" w:afterAutospacing="0"/>
                    <w:ind w:left="0" w:right="0"/>
                    <w:rPr>
                      <w:rFonts w:hint="default" w:ascii="宋体" w:hAnsi="宋体"/>
                      <w:szCs w:val="21"/>
                    </w:rPr>
                  </w:pPr>
                </w:p>
              </w:tc>
              <w:tc>
                <w:tcPr>
                  <w:tcW w:w="2033" w:type="dxa"/>
                </w:tcPr>
                <w:p>
                  <w:pPr>
                    <w:keepNext w:val="0"/>
                    <w:keepLines w:val="0"/>
                    <w:suppressLineNumbers w:val="0"/>
                    <w:autoSpaceDE w:val="0"/>
                    <w:autoSpaceDN w:val="0"/>
                    <w:spacing w:before="0" w:beforeAutospacing="0" w:after="0" w:afterAutospacing="0" w:line="500" w:lineRule="atLeast"/>
                    <w:ind w:left="0" w:right="0"/>
                    <w:rPr>
                      <w:rFonts w:hint="default" w:ascii="宋体" w:hAnsi="宋体"/>
                      <w:szCs w:val="21"/>
                    </w:rPr>
                  </w:pPr>
                </w:p>
              </w:tc>
              <w:tc>
                <w:tcPr>
                  <w:tcW w:w="2552" w:type="dxa"/>
                </w:tcPr>
                <w:p>
                  <w:pPr>
                    <w:keepNext w:val="0"/>
                    <w:keepLines w:val="0"/>
                    <w:suppressLineNumbers w:val="0"/>
                    <w:autoSpaceDE w:val="0"/>
                    <w:autoSpaceDN w:val="0"/>
                    <w:adjustRightInd w:val="0"/>
                    <w:spacing w:before="0" w:beforeAutospacing="0" w:after="0" w:afterAutospacing="0" w:line="0" w:lineRule="atLeast"/>
                    <w:ind w:left="720" w:right="-27"/>
                    <w:jc w:val="left"/>
                    <w:textAlignment w:val="baseline"/>
                    <w:rPr>
                      <w:rFonts w:hint="default" w:ascii="宋体" w:hAnsi="宋体"/>
                      <w:color w:val="000000"/>
                      <w:szCs w:val="21"/>
                    </w:rPr>
                  </w:pPr>
                </w:p>
              </w:tc>
              <w:tc>
                <w:tcPr>
                  <w:tcW w:w="1559" w:type="dxa"/>
                </w:tcPr>
                <w:p>
                  <w:pPr>
                    <w:keepNext w:val="0"/>
                    <w:keepLines w:val="0"/>
                    <w:suppressLineNumbers w:val="0"/>
                    <w:spacing w:before="0" w:beforeAutospacing="0" w:after="0" w:afterAutospacing="0"/>
                    <w:ind w:left="0" w:right="0"/>
                    <w:rPr>
                      <w:rFonts w:hint="default" w:ascii="宋体" w:hAnsi="宋体"/>
                      <w:color w:val="000000"/>
                      <w:szCs w:val="21"/>
                    </w:rPr>
                  </w:pPr>
                </w:p>
              </w:tc>
              <w:tc>
                <w:tcPr>
                  <w:tcW w:w="1134" w:type="dxa"/>
                </w:tcPr>
                <w:p>
                  <w:pPr>
                    <w:keepNext w:val="0"/>
                    <w:keepLines w:val="0"/>
                    <w:suppressLineNumbers w:val="0"/>
                    <w:spacing w:before="0" w:beforeAutospacing="0" w:after="0" w:afterAutospacing="0"/>
                    <w:ind w:left="0" w:right="0"/>
                    <w:rPr>
                      <w:rFonts w:hint="default" w:ascii="宋体" w:hAnsi="宋体" w:cs="宋体"/>
                      <w:szCs w:val="21"/>
                    </w:rPr>
                  </w:pPr>
                </w:p>
              </w:tc>
              <w:tc>
                <w:tcPr>
                  <w:tcW w:w="968"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有效</w:t>
                  </w:r>
                </w:p>
              </w:tc>
            </w:tr>
          </w:tbl>
          <w:p>
            <w:pPr>
              <w:keepNext w:val="0"/>
              <w:keepLines w:val="0"/>
              <w:suppressLineNumbers w:val="0"/>
              <w:spacing w:before="0" w:beforeAutospacing="0" w:after="0" w:afterAutospacing="0"/>
              <w:ind w:left="0" w:right="0"/>
              <w:rPr>
                <w:rFonts w:hint="default"/>
                <w:szCs w:val="20"/>
              </w:rPr>
            </w:pPr>
          </w:p>
        </w:tc>
        <w:tc>
          <w:tcPr>
            <w:tcW w:w="1597"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185" w:type="dxa"/>
            <w:vMerge w:val="restart"/>
            <w:shd w:val="clear" w:color="auto" w:fill="auto"/>
          </w:tcPr>
          <w:p>
            <w:r>
              <w:rPr>
                <w:rFonts w:hint="eastAsia"/>
              </w:rPr>
              <w:t>持续改进</w:t>
            </w:r>
          </w:p>
        </w:tc>
        <w:tc>
          <w:tcPr>
            <w:tcW w:w="938" w:type="dxa"/>
            <w:vMerge w:val="restart"/>
            <w:shd w:val="clear" w:color="auto" w:fill="auto"/>
          </w:tcPr>
          <w:p>
            <w:r>
              <w:rPr>
                <w:rFonts w:hint="eastAsia"/>
              </w:rPr>
              <w:t>F10.2</w:t>
            </w:r>
          </w:p>
        </w:tc>
        <w:tc>
          <w:tcPr>
            <w:tcW w:w="745" w:type="dxa"/>
            <w:gridSpan w:val="2"/>
            <w:shd w:val="clear" w:color="auto" w:fill="auto"/>
          </w:tcPr>
          <w:p>
            <w:r>
              <w:rPr>
                <w:rFonts w:hint="eastAsia"/>
              </w:rPr>
              <w:t>文件名称</w:t>
            </w:r>
          </w:p>
        </w:tc>
        <w:tc>
          <w:tcPr>
            <w:tcW w:w="9249" w:type="dxa"/>
            <w:gridSpan w:val="2"/>
            <w:shd w:val="clear" w:color="auto" w:fill="auto"/>
          </w:tcPr>
          <w:p>
            <w:r>
              <w:rPr>
                <w:rFonts w:hint="eastAsia"/>
              </w:rPr>
              <w:t>如：</w:t>
            </w:r>
            <w:r>
              <w:rPr>
                <w:rFonts w:hint="eastAsia"/>
              </w:rPr>
              <w:sym w:font="Wingdings" w:char="00FE"/>
            </w:r>
            <w:r>
              <w:rPr>
                <w:rFonts w:hint="eastAsia"/>
              </w:rPr>
              <w:t>管理手册10.2条款</w:t>
            </w:r>
          </w:p>
        </w:tc>
        <w:tc>
          <w:tcPr>
            <w:tcW w:w="1597"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2185" w:type="dxa"/>
            <w:vMerge w:val="continue"/>
            <w:shd w:val="clear" w:color="auto" w:fill="auto"/>
          </w:tcPr>
          <w:p/>
        </w:tc>
        <w:tc>
          <w:tcPr>
            <w:tcW w:w="938" w:type="dxa"/>
            <w:vMerge w:val="continue"/>
            <w:shd w:val="clear" w:color="auto" w:fill="auto"/>
          </w:tcPr>
          <w:p/>
        </w:tc>
        <w:tc>
          <w:tcPr>
            <w:tcW w:w="745" w:type="dxa"/>
            <w:gridSpan w:val="2"/>
            <w:shd w:val="clear" w:color="auto" w:fill="auto"/>
          </w:tcPr>
          <w:p>
            <w:r>
              <w:rPr>
                <w:rFonts w:hint="eastAsia"/>
              </w:rPr>
              <w:t>运行证据</w:t>
            </w:r>
          </w:p>
        </w:tc>
        <w:tc>
          <w:tcPr>
            <w:tcW w:w="9249" w:type="dxa"/>
            <w:gridSpan w:val="2"/>
            <w:shd w:val="clear" w:color="auto" w:fill="auto"/>
          </w:tcPr>
          <w:p>
            <w:r>
              <w:rPr>
                <w:rFonts w:hint="eastAsia"/>
              </w:rPr>
              <w:t xml:space="preserve">组织已持续改进食品安全管理体系的适宜性、充分性和有效性，以提升食品安全绩效。 </w:t>
            </w:r>
          </w:p>
          <w:p>
            <w:r>
              <w:rPr>
                <w:rFonts w:hint="eastAsia"/>
              </w:rPr>
              <w:t>组织考虑了分析和评价的结果以及管理评审的输出，确定是否存在需求或机遇，这些需求或机遇应作为持续改进的一部分加以应对。</w:t>
            </w:r>
          </w:p>
          <w:p>
            <w:pPr>
              <w:pStyle w:val="9"/>
            </w:pPr>
          </w:p>
          <w:p>
            <w:r>
              <w:rPr>
                <w:rFonts w:hint="eastAsia"/>
              </w:rPr>
              <w:sym w:font="Wingdings" w:char="00A8"/>
            </w:r>
            <w:r>
              <w:rPr>
                <w:rFonts w:hint="eastAsia"/>
              </w:rPr>
              <w:t xml:space="preserve"> 改进措施已落实</w:t>
            </w:r>
          </w:p>
          <w:p>
            <w:r>
              <w:rPr>
                <w:rFonts w:hint="eastAsia"/>
              </w:rPr>
              <w:sym w:font="Wingdings" w:char="00FE"/>
            </w:r>
            <w:r>
              <w:rPr>
                <w:rFonts w:hint="eastAsia"/>
              </w:rPr>
              <w:t xml:space="preserve"> 改进措施未落实的原因：</w:t>
            </w:r>
            <w:r>
              <w:rPr>
                <w:rFonts w:hint="eastAsia"/>
                <w:u w:val="single"/>
              </w:rPr>
              <w:t xml:space="preserve">   </w:t>
            </w:r>
            <w:r>
              <w:rPr>
                <w:rFonts w:hint="eastAsia"/>
                <w:u w:val="single"/>
                <w:lang w:val="en-US" w:eastAsia="zh-CN"/>
              </w:rPr>
              <w:t>计划2023年3月底前完成</w:t>
            </w:r>
            <w:r>
              <w:rPr>
                <w:rFonts w:hint="eastAsia"/>
                <w:u w:val="single"/>
              </w:rPr>
              <w:t xml:space="preserve">                      </w:t>
            </w:r>
          </w:p>
          <w:p>
            <w:r>
              <w:rPr>
                <w:rFonts w:hint="eastAsia"/>
              </w:rPr>
              <w:t>最高管理者应确保组织通过以下活动， 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FSMS更新 。</w:t>
            </w:r>
          </w:p>
        </w:tc>
        <w:tc>
          <w:tcPr>
            <w:tcW w:w="159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185" w:type="dxa"/>
            <w:vMerge w:val="restart"/>
            <w:shd w:val="clear" w:color="auto" w:fill="auto"/>
          </w:tcPr>
          <w:p>
            <w:pPr>
              <w:rPr>
                <w:rFonts w:hint="eastAsia"/>
              </w:rPr>
            </w:pPr>
            <w:r>
              <w:rPr>
                <w:rFonts w:hint="eastAsia"/>
              </w:rPr>
              <w:t>食品安全管理体系的更新</w:t>
            </w:r>
          </w:p>
          <w:p/>
          <w:p/>
        </w:tc>
        <w:tc>
          <w:tcPr>
            <w:tcW w:w="938" w:type="dxa"/>
            <w:vMerge w:val="restart"/>
            <w:shd w:val="clear" w:color="auto" w:fill="auto"/>
          </w:tcPr>
          <w:p>
            <w:r>
              <w:rPr>
                <w:rFonts w:hint="eastAsia"/>
              </w:rPr>
              <w:t>F10.3</w:t>
            </w:r>
          </w:p>
        </w:tc>
        <w:tc>
          <w:tcPr>
            <w:tcW w:w="745" w:type="dxa"/>
            <w:gridSpan w:val="2"/>
            <w:shd w:val="clear" w:color="auto" w:fill="auto"/>
          </w:tcPr>
          <w:p>
            <w:r>
              <w:rPr>
                <w:rFonts w:hint="eastAsia"/>
              </w:rPr>
              <w:t>文件名称</w:t>
            </w:r>
          </w:p>
        </w:tc>
        <w:tc>
          <w:tcPr>
            <w:tcW w:w="9249" w:type="dxa"/>
            <w:gridSpan w:val="2"/>
            <w:shd w:val="clear" w:color="auto" w:fill="auto"/>
          </w:tcPr>
          <w:p>
            <w:r>
              <w:rPr>
                <w:rFonts w:hint="eastAsia"/>
              </w:rPr>
              <w:t>如：</w:t>
            </w:r>
            <w:r>
              <w:rPr>
                <w:rFonts w:hint="eastAsia"/>
              </w:rPr>
              <w:sym w:font="Wingdings" w:char="00FE"/>
            </w:r>
            <w:r>
              <w:rPr>
                <w:rFonts w:hint="eastAsia"/>
              </w:rPr>
              <w:t>管理手册10.3条款</w:t>
            </w:r>
          </w:p>
        </w:tc>
        <w:tc>
          <w:tcPr>
            <w:tcW w:w="1597"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1" w:hRule="atLeast"/>
        </w:trPr>
        <w:tc>
          <w:tcPr>
            <w:tcW w:w="2185" w:type="dxa"/>
            <w:vMerge w:val="continue"/>
            <w:shd w:val="clear" w:color="auto" w:fill="auto"/>
          </w:tcPr>
          <w:p/>
        </w:tc>
        <w:tc>
          <w:tcPr>
            <w:tcW w:w="938" w:type="dxa"/>
            <w:vMerge w:val="continue"/>
            <w:shd w:val="clear" w:color="auto" w:fill="auto"/>
          </w:tcPr>
          <w:p/>
        </w:tc>
        <w:tc>
          <w:tcPr>
            <w:tcW w:w="745" w:type="dxa"/>
            <w:gridSpan w:val="2"/>
            <w:shd w:val="clear" w:color="auto" w:fill="auto"/>
          </w:tcPr>
          <w:p>
            <w:r>
              <w:rPr>
                <w:rFonts w:hint="eastAsia"/>
              </w:rPr>
              <w:t>运行证据</w:t>
            </w:r>
          </w:p>
        </w:tc>
        <w:tc>
          <w:tcPr>
            <w:tcW w:w="9249" w:type="dxa"/>
            <w:gridSpan w:val="2"/>
            <w:shd w:val="clear" w:color="auto" w:fill="auto"/>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xml:space="preserve">：   </w:t>
            </w:r>
            <w:r>
              <w:rPr>
                <w:rFonts w:hint="eastAsia"/>
                <w:u w:val="single"/>
                <w:lang w:eastAsia="zh-CN"/>
              </w:rPr>
              <w:t>——</w:t>
            </w:r>
            <w:r>
              <w:rPr>
                <w:rFonts w:hint="eastAsia"/>
                <w:u w:val="single"/>
                <w:lang w:val="en-US" w:eastAsia="zh-CN"/>
              </w:rPr>
              <w:t>审核周期内</w:t>
            </w:r>
            <w:r>
              <w:rPr>
                <w:rFonts w:hint="eastAsia"/>
                <w:u w:val="single"/>
              </w:rPr>
              <w:t>未发生</w:t>
            </w:r>
            <w:r>
              <w:rPr>
                <w:rFonts w:hint="eastAsia"/>
                <w:u w:val="single"/>
                <w:lang w:val="en-US" w:eastAsia="zh-CN"/>
              </w:rPr>
              <w:t>较大更新</w:t>
            </w:r>
            <w:r>
              <w:rPr>
                <w:rFonts w:hint="eastAsia"/>
                <w:u w:val="single"/>
              </w:rPr>
              <w:t xml:space="preserve">  </w:t>
            </w:r>
            <w:r>
              <w:rPr>
                <w:rFonts w:hint="eastAsia"/>
              </w:rPr>
              <w:t xml:space="preserve"> </w:t>
            </w:r>
            <w:r>
              <w:t>，作为输入报告给管理评审。</w:t>
            </w:r>
          </w:p>
          <w:p/>
        </w:tc>
        <w:tc>
          <w:tcPr>
            <w:tcW w:w="1597" w:type="dxa"/>
            <w:gridSpan w:val="2"/>
            <w:vMerge w:val="continue"/>
            <w:shd w:val="clear" w:color="auto" w:fill="auto"/>
          </w:tcPr>
          <w:p/>
        </w:tc>
      </w:tr>
    </w:tbl>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IDFont+F5">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UI Emoji">
    <w:panose1 w:val="020B0502040204020203"/>
    <w:charset w:val="00"/>
    <w:family w:val="swiss"/>
    <w:pitch w:val="default"/>
    <w:sig w:usb0="00000001" w:usb1="02000000" w:usb2="00000000" w:usb3="00000000" w:csb0="000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-55245</wp:posOffset>
          </wp:positionH>
          <wp:positionV relativeFrom="paragraph">
            <wp:posOffset>-41275</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7"/>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5437F"/>
    <w:multiLevelType w:val="singleLevel"/>
    <w:tmpl w:val="8075437F"/>
    <w:lvl w:ilvl="0" w:tentative="0">
      <w:start w:val="1"/>
      <w:numFmt w:val="decimal"/>
      <w:suff w:val="nothing"/>
      <w:lvlText w:val="%1）"/>
      <w:lvlJc w:val="left"/>
      <w:pPr>
        <w:ind w:left="-840"/>
      </w:pPr>
    </w:lvl>
  </w:abstractNum>
  <w:abstractNum w:abstractNumId="1">
    <w:nsid w:val="D9157FF7"/>
    <w:multiLevelType w:val="singleLevel"/>
    <w:tmpl w:val="D9157FF7"/>
    <w:lvl w:ilvl="0" w:tentative="0">
      <w:start w:val="1"/>
      <w:numFmt w:val="lowerLetter"/>
      <w:suff w:val="space"/>
      <w:lvlText w:val="%1)"/>
      <w:lvlJc w:val="left"/>
    </w:lvl>
  </w:abstractNum>
  <w:abstractNum w:abstractNumId="2">
    <w:nsid w:val="EE17838D"/>
    <w:multiLevelType w:val="singleLevel"/>
    <w:tmpl w:val="EE17838D"/>
    <w:lvl w:ilvl="0" w:tentative="0">
      <w:start w:val="1"/>
      <w:numFmt w:val="decimal"/>
      <w:suff w:val="nothing"/>
      <w:lvlText w:val="%1）"/>
      <w:lvlJc w:val="left"/>
    </w:lvl>
  </w:abstractNum>
  <w:abstractNum w:abstractNumId="3">
    <w:nsid w:val="19E194F9"/>
    <w:multiLevelType w:val="singleLevel"/>
    <w:tmpl w:val="19E194F9"/>
    <w:lvl w:ilvl="0" w:tentative="0">
      <w:start w:val="1"/>
      <w:numFmt w:val="lowerLetter"/>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 w:name="KSO_WPS_MARK_KEY" w:val="37cd9bfa-48b1-48b9-9827-9f17efe8f1ee"/>
  </w:docVars>
  <w:rsids>
    <w:rsidRoot w:val="009973B4"/>
    <w:rsid w:val="0001377F"/>
    <w:rsid w:val="000237F6"/>
    <w:rsid w:val="0003373A"/>
    <w:rsid w:val="000400E2"/>
    <w:rsid w:val="00053043"/>
    <w:rsid w:val="00062E46"/>
    <w:rsid w:val="00077C57"/>
    <w:rsid w:val="000E6B21"/>
    <w:rsid w:val="000E7D69"/>
    <w:rsid w:val="001037D1"/>
    <w:rsid w:val="00111EBB"/>
    <w:rsid w:val="001140D6"/>
    <w:rsid w:val="00126B2A"/>
    <w:rsid w:val="001A2D7F"/>
    <w:rsid w:val="001A336D"/>
    <w:rsid w:val="001F1502"/>
    <w:rsid w:val="00203518"/>
    <w:rsid w:val="0023692C"/>
    <w:rsid w:val="002805E0"/>
    <w:rsid w:val="002822F1"/>
    <w:rsid w:val="002939AD"/>
    <w:rsid w:val="002A7D96"/>
    <w:rsid w:val="002E061E"/>
    <w:rsid w:val="002E5925"/>
    <w:rsid w:val="00304BD2"/>
    <w:rsid w:val="00314AF6"/>
    <w:rsid w:val="00332DD3"/>
    <w:rsid w:val="00334BC0"/>
    <w:rsid w:val="003359ED"/>
    <w:rsid w:val="00337922"/>
    <w:rsid w:val="00340867"/>
    <w:rsid w:val="00380837"/>
    <w:rsid w:val="003A198A"/>
    <w:rsid w:val="00410914"/>
    <w:rsid w:val="0042042C"/>
    <w:rsid w:val="00454842"/>
    <w:rsid w:val="00477A20"/>
    <w:rsid w:val="0048201E"/>
    <w:rsid w:val="0048635A"/>
    <w:rsid w:val="0049215F"/>
    <w:rsid w:val="004B2B8D"/>
    <w:rsid w:val="004E753A"/>
    <w:rsid w:val="005203B8"/>
    <w:rsid w:val="00531A59"/>
    <w:rsid w:val="00536930"/>
    <w:rsid w:val="00542263"/>
    <w:rsid w:val="00564E53"/>
    <w:rsid w:val="00571451"/>
    <w:rsid w:val="005B7968"/>
    <w:rsid w:val="005C6B53"/>
    <w:rsid w:val="005D5659"/>
    <w:rsid w:val="005E2DC1"/>
    <w:rsid w:val="005F0777"/>
    <w:rsid w:val="00600C20"/>
    <w:rsid w:val="00644FE2"/>
    <w:rsid w:val="00651ED1"/>
    <w:rsid w:val="00660E47"/>
    <w:rsid w:val="00663F71"/>
    <w:rsid w:val="0067640C"/>
    <w:rsid w:val="00691D92"/>
    <w:rsid w:val="006D7C48"/>
    <w:rsid w:val="006E678B"/>
    <w:rsid w:val="006E7B1D"/>
    <w:rsid w:val="0070341D"/>
    <w:rsid w:val="00705D46"/>
    <w:rsid w:val="00714E0C"/>
    <w:rsid w:val="007757F3"/>
    <w:rsid w:val="00782A29"/>
    <w:rsid w:val="007860F5"/>
    <w:rsid w:val="007C1B48"/>
    <w:rsid w:val="007E3B15"/>
    <w:rsid w:val="007E6AEB"/>
    <w:rsid w:val="008630EE"/>
    <w:rsid w:val="008973EE"/>
    <w:rsid w:val="008C05BC"/>
    <w:rsid w:val="008C60FD"/>
    <w:rsid w:val="0090032F"/>
    <w:rsid w:val="00910EB7"/>
    <w:rsid w:val="00920906"/>
    <w:rsid w:val="00923731"/>
    <w:rsid w:val="009315A7"/>
    <w:rsid w:val="009344FA"/>
    <w:rsid w:val="00971600"/>
    <w:rsid w:val="009734AB"/>
    <w:rsid w:val="0097671F"/>
    <w:rsid w:val="009973B4"/>
    <w:rsid w:val="009C28C1"/>
    <w:rsid w:val="009D0D15"/>
    <w:rsid w:val="009E7642"/>
    <w:rsid w:val="009F7EED"/>
    <w:rsid w:val="00A01D85"/>
    <w:rsid w:val="00A109EE"/>
    <w:rsid w:val="00A23E2B"/>
    <w:rsid w:val="00A353D5"/>
    <w:rsid w:val="00A74916"/>
    <w:rsid w:val="00A80636"/>
    <w:rsid w:val="00A80E58"/>
    <w:rsid w:val="00AA4BB0"/>
    <w:rsid w:val="00AB1C1D"/>
    <w:rsid w:val="00AC2E27"/>
    <w:rsid w:val="00AF0AAB"/>
    <w:rsid w:val="00B50FD7"/>
    <w:rsid w:val="00B646E3"/>
    <w:rsid w:val="00B64A32"/>
    <w:rsid w:val="00B801A2"/>
    <w:rsid w:val="00B82D4A"/>
    <w:rsid w:val="00B93797"/>
    <w:rsid w:val="00BA5DC8"/>
    <w:rsid w:val="00BB07DF"/>
    <w:rsid w:val="00BE5F33"/>
    <w:rsid w:val="00BF597E"/>
    <w:rsid w:val="00C03A49"/>
    <w:rsid w:val="00C37C31"/>
    <w:rsid w:val="00C51A36"/>
    <w:rsid w:val="00C55228"/>
    <w:rsid w:val="00C5533A"/>
    <w:rsid w:val="00C63768"/>
    <w:rsid w:val="00C65F2B"/>
    <w:rsid w:val="00C96ED9"/>
    <w:rsid w:val="00CD71D8"/>
    <w:rsid w:val="00CE2E76"/>
    <w:rsid w:val="00CE315A"/>
    <w:rsid w:val="00CF1517"/>
    <w:rsid w:val="00D06F59"/>
    <w:rsid w:val="00D708B1"/>
    <w:rsid w:val="00D71355"/>
    <w:rsid w:val="00D75176"/>
    <w:rsid w:val="00D8388C"/>
    <w:rsid w:val="00DC055B"/>
    <w:rsid w:val="00DD3530"/>
    <w:rsid w:val="00DE720A"/>
    <w:rsid w:val="00E120F4"/>
    <w:rsid w:val="00E25E5F"/>
    <w:rsid w:val="00E6224C"/>
    <w:rsid w:val="00E65C8F"/>
    <w:rsid w:val="00EB0164"/>
    <w:rsid w:val="00EB2D1A"/>
    <w:rsid w:val="00EC57BB"/>
    <w:rsid w:val="00EC66B3"/>
    <w:rsid w:val="00ED0F62"/>
    <w:rsid w:val="00F2198C"/>
    <w:rsid w:val="00F43A54"/>
    <w:rsid w:val="00F441AF"/>
    <w:rsid w:val="00F56D22"/>
    <w:rsid w:val="00F7499A"/>
    <w:rsid w:val="00F95ED9"/>
    <w:rsid w:val="00FD0A8E"/>
    <w:rsid w:val="00FF6820"/>
    <w:rsid w:val="01260C71"/>
    <w:rsid w:val="01E27364"/>
    <w:rsid w:val="024C7592"/>
    <w:rsid w:val="02C75A20"/>
    <w:rsid w:val="032F5195"/>
    <w:rsid w:val="03A0688A"/>
    <w:rsid w:val="03A32F8E"/>
    <w:rsid w:val="03AC3D8E"/>
    <w:rsid w:val="03CE483E"/>
    <w:rsid w:val="03CF54E8"/>
    <w:rsid w:val="0405614C"/>
    <w:rsid w:val="04883DB3"/>
    <w:rsid w:val="049166B1"/>
    <w:rsid w:val="04981EC9"/>
    <w:rsid w:val="050D3D1E"/>
    <w:rsid w:val="056577F0"/>
    <w:rsid w:val="05705C5F"/>
    <w:rsid w:val="057753FF"/>
    <w:rsid w:val="05A05014"/>
    <w:rsid w:val="05F6270F"/>
    <w:rsid w:val="05FE5D86"/>
    <w:rsid w:val="0605101B"/>
    <w:rsid w:val="061B4460"/>
    <w:rsid w:val="065A01DF"/>
    <w:rsid w:val="067B702D"/>
    <w:rsid w:val="06994A8D"/>
    <w:rsid w:val="06AA7E97"/>
    <w:rsid w:val="06ED612A"/>
    <w:rsid w:val="071579E5"/>
    <w:rsid w:val="08274F37"/>
    <w:rsid w:val="08767210"/>
    <w:rsid w:val="08851DD7"/>
    <w:rsid w:val="08C22483"/>
    <w:rsid w:val="08EA61EF"/>
    <w:rsid w:val="08ED1EE8"/>
    <w:rsid w:val="09005957"/>
    <w:rsid w:val="096333C5"/>
    <w:rsid w:val="09933EF9"/>
    <w:rsid w:val="09AA0CA5"/>
    <w:rsid w:val="09D27E0F"/>
    <w:rsid w:val="09FA6045"/>
    <w:rsid w:val="0A0F142E"/>
    <w:rsid w:val="0A1C56C1"/>
    <w:rsid w:val="0A904067"/>
    <w:rsid w:val="0ACA6ED2"/>
    <w:rsid w:val="0AEF4D8D"/>
    <w:rsid w:val="0B8038C6"/>
    <w:rsid w:val="0BD10FD4"/>
    <w:rsid w:val="0BE64DFF"/>
    <w:rsid w:val="0C5423F7"/>
    <w:rsid w:val="0C8009B8"/>
    <w:rsid w:val="0CC102DA"/>
    <w:rsid w:val="0CFF24BA"/>
    <w:rsid w:val="0D181113"/>
    <w:rsid w:val="0D1E4D9B"/>
    <w:rsid w:val="0D4D1326"/>
    <w:rsid w:val="0D6A2C36"/>
    <w:rsid w:val="0DB35CC0"/>
    <w:rsid w:val="0E49595F"/>
    <w:rsid w:val="0E7D78A0"/>
    <w:rsid w:val="0E802B47"/>
    <w:rsid w:val="0EB8524B"/>
    <w:rsid w:val="0F86648B"/>
    <w:rsid w:val="0F9C35C1"/>
    <w:rsid w:val="0FEB1156"/>
    <w:rsid w:val="0FFA42BF"/>
    <w:rsid w:val="100B6D7F"/>
    <w:rsid w:val="100D075A"/>
    <w:rsid w:val="106A3497"/>
    <w:rsid w:val="108219C2"/>
    <w:rsid w:val="10991918"/>
    <w:rsid w:val="10A120FB"/>
    <w:rsid w:val="10AB5B5F"/>
    <w:rsid w:val="10C112A0"/>
    <w:rsid w:val="10C11C69"/>
    <w:rsid w:val="10DD2E35"/>
    <w:rsid w:val="10E22999"/>
    <w:rsid w:val="11536201"/>
    <w:rsid w:val="115D3DB9"/>
    <w:rsid w:val="11BD2BE2"/>
    <w:rsid w:val="11BE2038"/>
    <w:rsid w:val="11DC0AC4"/>
    <w:rsid w:val="11E2439D"/>
    <w:rsid w:val="1250042A"/>
    <w:rsid w:val="12563B2D"/>
    <w:rsid w:val="129D4370"/>
    <w:rsid w:val="12A2571D"/>
    <w:rsid w:val="12A42EA7"/>
    <w:rsid w:val="12A506D3"/>
    <w:rsid w:val="13296CDD"/>
    <w:rsid w:val="132E07CB"/>
    <w:rsid w:val="134E7573"/>
    <w:rsid w:val="13890C2B"/>
    <w:rsid w:val="13A420AC"/>
    <w:rsid w:val="13B503FB"/>
    <w:rsid w:val="13C11723"/>
    <w:rsid w:val="13EB79B2"/>
    <w:rsid w:val="145B46D3"/>
    <w:rsid w:val="14C400FD"/>
    <w:rsid w:val="14F1297E"/>
    <w:rsid w:val="14F26225"/>
    <w:rsid w:val="15023387"/>
    <w:rsid w:val="15051B66"/>
    <w:rsid w:val="151414F9"/>
    <w:rsid w:val="15167847"/>
    <w:rsid w:val="154C7AB0"/>
    <w:rsid w:val="155F4281"/>
    <w:rsid w:val="15BC540D"/>
    <w:rsid w:val="15C64A64"/>
    <w:rsid w:val="15F7492E"/>
    <w:rsid w:val="16210B83"/>
    <w:rsid w:val="16583F2B"/>
    <w:rsid w:val="169D3E09"/>
    <w:rsid w:val="16AB3CAD"/>
    <w:rsid w:val="16E341B9"/>
    <w:rsid w:val="16F10A78"/>
    <w:rsid w:val="17226BDD"/>
    <w:rsid w:val="17446813"/>
    <w:rsid w:val="177551EA"/>
    <w:rsid w:val="179B1D36"/>
    <w:rsid w:val="17AA51C2"/>
    <w:rsid w:val="17C079EC"/>
    <w:rsid w:val="17F76BA3"/>
    <w:rsid w:val="182A66F0"/>
    <w:rsid w:val="186A6524"/>
    <w:rsid w:val="186F767B"/>
    <w:rsid w:val="187F0353"/>
    <w:rsid w:val="188852B3"/>
    <w:rsid w:val="18E725C6"/>
    <w:rsid w:val="18FB3FC3"/>
    <w:rsid w:val="190869DD"/>
    <w:rsid w:val="19444428"/>
    <w:rsid w:val="19553BF7"/>
    <w:rsid w:val="197008AF"/>
    <w:rsid w:val="19746F33"/>
    <w:rsid w:val="197E61C1"/>
    <w:rsid w:val="199565C0"/>
    <w:rsid w:val="19D74BC7"/>
    <w:rsid w:val="19FD49DB"/>
    <w:rsid w:val="1A041A8F"/>
    <w:rsid w:val="1A546A4C"/>
    <w:rsid w:val="1A6C3FF9"/>
    <w:rsid w:val="1AAF33A8"/>
    <w:rsid w:val="1AB42370"/>
    <w:rsid w:val="1ACD09C2"/>
    <w:rsid w:val="1ACF1254"/>
    <w:rsid w:val="1AED5B63"/>
    <w:rsid w:val="1B462375"/>
    <w:rsid w:val="1B5E3B97"/>
    <w:rsid w:val="1C392A3A"/>
    <w:rsid w:val="1C6465C0"/>
    <w:rsid w:val="1CB1322F"/>
    <w:rsid w:val="1CBA49EE"/>
    <w:rsid w:val="1D0723A1"/>
    <w:rsid w:val="1D3F332D"/>
    <w:rsid w:val="1D4D4A00"/>
    <w:rsid w:val="1DC4038A"/>
    <w:rsid w:val="1DEF0B38"/>
    <w:rsid w:val="1DF36090"/>
    <w:rsid w:val="1DFE25B1"/>
    <w:rsid w:val="1E511FFA"/>
    <w:rsid w:val="1E752FA2"/>
    <w:rsid w:val="1E993682"/>
    <w:rsid w:val="1EF77273"/>
    <w:rsid w:val="1F1B65D5"/>
    <w:rsid w:val="1F35289F"/>
    <w:rsid w:val="1F4E73A5"/>
    <w:rsid w:val="1F8E0A45"/>
    <w:rsid w:val="1FAB395F"/>
    <w:rsid w:val="1FB8538A"/>
    <w:rsid w:val="1FF16224"/>
    <w:rsid w:val="201572E0"/>
    <w:rsid w:val="20272451"/>
    <w:rsid w:val="203255D2"/>
    <w:rsid w:val="20403C64"/>
    <w:rsid w:val="204C04C4"/>
    <w:rsid w:val="205905F2"/>
    <w:rsid w:val="205B3801"/>
    <w:rsid w:val="207644C2"/>
    <w:rsid w:val="20A856C1"/>
    <w:rsid w:val="21A07B88"/>
    <w:rsid w:val="21A616A9"/>
    <w:rsid w:val="21D24208"/>
    <w:rsid w:val="226B2F60"/>
    <w:rsid w:val="22813299"/>
    <w:rsid w:val="23461CA8"/>
    <w:rsid w:val="238A1BAA"/>
    <w:rsid w:val="23900E62"/>
    <w:rsid w:val="23BF3886"/>
    <w:rsid w:val="23CE1817"/>
    <w:rsid w:val="241A6B34"/>
    <w:rsid w:val="24285E2F"/>
    <w:rsid w:val="242A7B69"/>
    <w:rsid w:val="247622DE"/>
    <w:rsid w:val="2480482A"/>
    <w:rsid w:val="24A05D8E"/>
    <w:rsid w:val="24FC7C66"/>
    <w:rsid w:val="2519537A"/>
    <w:rsid w:val="258041F6"/>
    <w:rsid w:val="258609CC"/>
    <w:rsid w:val="25B02BA9"/>
    <w:rsid w:val="261B55F8"/>
    <w:rsid w:val="261D5675"/>
    <w:rsid w:val="269C7CAD"/>
    <w:rsid w:val="271B4DE1"/>
    <w:rsid w:val="272228DE"/>
    <w:rsid w:val="27443F4D"/>
    <w:rsid w:val="274B78E8"/>
    <w:rsid w:val="27602485"/>
    <w:rsid w:val="278836B6"/>
    <w:rsid w:val="27CF15FE"/>
    <w:rsid w:val="27D42EE9"/>
    <w:rsid w:val="27E10A81"/>
    <w:rsid w:val="27FE6486"/>
    <w:rsid w:val="280B3F2E"/>
    <w:rsid w:val="28341F0D"/>
    <w:rsid w:val="287129DF"/>
    <w:rsid w:val="28734952"/>
    <w:rsid w:val="2892323E"/>
    <w:rsid w:val="289361DE"/>
    <w:rsid w:val="291C5E47"/>
    <w:rsid w:val="296D2D47"/>
    <w:rsid w:val="29CB46C2"/>
    <w:rsid w:val="29F77BA5"/>
    <w:rsid w:val="2A3A6E77"/>
    <w:rsid w:val="2A85024C"/>
    <w:rsid w:val="2B0D2F04"/>
    <w:rsid w:val="2B1D2572"/>
    <w:rsid w:val="2B206A2D"/>
    <w:rsid w:val="2B4C1179"/>
    <w:rsid w:val="2BAC5760"/>
    <w:rsid w:val="2BD60481"/>
    <w:rsid w:val="2BEA3FA7"/>
    <w:rsid w:val="2C2E44D4"/>
    <w:rsid w:val="2C7B6C71"/>
    <w:rsid w:val="2D357F0D"/>
    <w:rsid w:val="2D4E604F"/>
    <w:rsid w:val="2D5C2AB0"/>
    <w:rsid w:val="2D7A20E6"/>
    <w:rsid w:val="2DC57805"/>
    <w:rsid w:val="2DC801AD"/>
    <w:rsid w:val="2DDF08DF"/>
    <w:rsid w:val="2DFF79D8"/>
    <w:rsid w:val="2E367C56"/>
    <w:rsid w:val="2E440885"/>
    <w:rsid w:val="2EEE512C"/>
    <w:rsid w:val="2F511B05"/>
    <w:rsid w:val="2F7C571D"/>
    <w:rsid w:val="2FA86B66"/>
    <w:rsid w:val="2FE823A5"/>
    <w:rsid w:val="2FEA1C57"/>
    <w:rsid w:val="300172B8"/>
    <w:rsid w:val="3009556D"/>
    <w:rsid w:val="301D6C0C"/>
    <w:rsid w:val="30945277"/>
    <w:rsid w:val="30C71DD4"/>
    <w:rsid w:val="30DC7CB1"/>
    <w:rsid w:val="30ED30CC"/>
    <w:rsid w:val="31064141"/>
    <w:rsid w:val="31436D79"/>
    <w:rsid w:val="316513E5"/>
    <w:rsid w:val="31B477DB"/>
    <w:rsid w:val="31B67BE2"/>
    <w:rsid w:val="31CA71DD"/>
    <w:rsid w:val="324E5138"/>
    <w:rsid w:val="325251B2"/>
    <w:rsid w:val="32A772DD"/>
    <w:rsid w:val="331E21CE"/>
    <w:rsid w:val="33562A0D"/>
    <w:rsid w:val="33715F28"/>
    <w:rsid w:val="33F07155"/>
    <w:rsid w:val="340C6245"/>
    <w:rsid w:val="343C4522"/>
    <w:rsid w:val="34576AE5"/>
    <w:rsid w:val="347A0336"/>
    <w:rsid w:val="34F92D63"/>
    <w:rsid w:val="35527F1F"/>
    <w:rsid w:val="357914C0"/>
    <w:rsid w:val="35977CFC"/>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777CB4"/>
    <w:rsid w:val="3AAB1306"/>
    <w:rsid w:val="3AB66B32"/>
    <w:rsid w:val="3ABD0173"/>
    <w:rsid w:val="3ACE23E2"/>
    <w:rsid w:val="3B227AA7"/>
    <w:rsid w:val="3B4241C0"/>
    <w:rsid w:val="3B5F0280"/>
    <w:rsid w:val="3BEE1D6F"/>
    <w:rsid w:val="3BF1473C"/>
    <w:rsid w:val="3CA475E5"/>
    <w:rsid w:val="3CA717F2"/>
    <w:rsid w:val="3CC56579"/>
    <w:rsid w:val="3DAB460B"/>
    <w:rsid w:val="3DDA7DB2"/>
    <w:rsid w:val="3DF2719F"/>
    <w:rsid w:val="3E342793"/>
    <w:rsid w:val="3E3C5235"/>
    <w:rsid w:val="3EA34B57"/>
    <w:rsid w:val="3EEF1E6E"/>
    <w:rsid w:val="3F654598"/>
    <w:rsid w:val="3F701801"/>
    <w:rsid w:val="3F9C4784"/>
    <w:rsid w:val="40075616"/>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B1167"/>
    <w:rsid w:val="435F500F"/>
    <w:rsid w:val="43C730CD"/>
    <w:rsid w:val="44931179"/>
    <w:rsid w:val="44A567F5"/>
    <w:rsid w:val="453B1EBC"/>
    <w:rsid w:val="45413E1D"/>
    <w:rsid w:val="45635AEC"/>
    <w:rsid w:val="45BA54FA"/>
    <w:rsid w:val="45EC74A5"/>
    <w:rsid w:val="45FA6B69"/>
    <w:rsid w:val="460414DD"/>
    <w:rsid w:val="46332B60"/>
    <w:rsid w:val="4654705C"/>
    <w:rsid w:val="468D2C1F"/>
    <w:rsid w:val="468D3CA5"/>
    <w:rsid w:val="469330D2"/>
    <w:rsid w:val="46EA7997"/>
    <w:rsid w:val="470243E7"/>
    <w:rsid w:val="471F1498"/>
    <w:rsid w:val="47271944"/>
    <w:rsid w:val="475C4BFE"/>
    <w:rsid w:val="47BB044C"/>
    <w:rsid w:val="48262DE5"/>
    <w:rsid w:val="48397913"/>
    <w:rsid w:val="486C6E78"/>
    <w:rsid w:val="4949229C"/>
    <w:rsid w:val="49834851"/>
    <w:rsid w:val="49C0281D"/>
    <w:rsid w:val="49E1317B"/>
    <w:rsid w:val="49E449BF"/>
    <w:rsid w:val="49EC77B8"/>
    <w:rsid w:val="49ED5B1C"/>
    <w:rsid w:val="4AD45EF1"/>
    <w:rsid w:val="4ADD13CB"/>
    <w:rsid w:val="4AE04A18"/>
    <w:rsid w:val="4B337454"/>
    <w:rsid w:val="4B407CC6"/>
    <w:rsid w:val="4B42232B"/>
    <w:rsid w:val="4B464DA1"/>
    <w:rsid w:val="4B825A76"/>
    <w:rsid w:val="4B8B3702"/>
    <w:rsid w:val="4B9B0D7E"/>
    <w:rsid w:val="4BC30D8B"/>
    <w:rsid w:val="4BC83B65"/>
    <w:rsid w:val="4C1A1162"/>
    <w:rsid w:val="4C49352C"/>
    <w:rsid w:val="4C85389F"/>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4F8922EB"/>
    <w:rsid w:val="503C3BCC"/>
    <w:rsid w:val="505C4971"/>
    <w:rsid w:val="50C41CF1"/>
    <w:rsid w:val="510D71A2"/>
    <w:rsid w:val="51217DA6"/>
    <w:rsid w:val="51294703"/>
    <w:rsid w:val="51425A27"/>
    <w:rsid w:val="5158757E"/>
    <w:rsid w:val="51F7602F"/>
    <w:rsid w:val="521A5D1E"/>
    <w:rsid w:val="52344790"/>
    <w:rsid w:val="523624DE"/>
    <w:rsid w:val="52A23F56"/>
    <w:rsid w:val="52BA5471"/>
    <w:rsid w:val="52D871F4"/>
    <w:rsid w:val="52DF3F44"/>
    <w:rsid w:val="52F263D6"/>
    <w:rsid w:val="53024EB7"/>
    <w:rsid w:val="53261795"/>
    <w:rsid w:val="53953BE7"/>
    <w:rsid w:val="53E93AEB"/>
    <w:rsid w:val="53F51637"/>
    <w:rsid w:val="54124FEF"/>
    <w:rsid w:val="541C4B67"/>
    <w:rsid w:val="54414F42"/>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7F2D1A"/>
    <w:rsid w:val="57F55B90"/>
    <w:rsid w:val="580F191D"/>
    <w:rsid w:val="58276F84"/>
    <w:rsid w:val="58584813"/>
    <w:rsid w:val="58B728A2"/>
    <w:rsid w:val="58B868EB"/>
    <w:rsid w:val="590D059A"/>
    <w:rsid w:val="592802C2"/>
    <w:rsid w:val="5978735A"/>
    <w:rsid w:val="59A13904"/>
    <w:rsid w:val="59D37462"/>
    <w:rsid w:val="59E42114"/>
    <w:rsid w:val="59E710C8"/>
    <w:rsid w:val="59F34F80"/>
    <w:rsid w:val="5A1C59A1"/>
    <w:rsid w:val="5A386EB4"/>
    <w:rsid w:val="5A407674"/>
    <w:rsid w:val="5A432974"/>
    <w:rsid w:val="5A6951F3"/>
    <w:rsid w:val="5A6A20C5"/>
    <w:rsid w:val="5A8706D9"/>
    <w:rsid w:val="5AD64AF2"/>
    <w:rsid w:val="5AF23288"/>
    <w:rsid w:val="5B544EB3"/>
    <w:rsid w:val="5B6A33DD"/>
    <w:rsid w:val="5BBF36FA"/>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0754B6"/>
    <w:rsid w:val="6018182B"/>
    <w:rsid w:val="601E0F43"/>
    <w:rsid w:val="60596F8D"/>
    <w:rsid w:val="608075E1"/>
    <w:rsid w:val="61326FB1"/>
    <w:rsid w:val="61384C31"/>
    <w:rsid w:val="61AD00BB"/>
    <w:rsid w:val="61E77A7E"/>
    <w:rsid w:val="61F16F63"/>
    <w:rsid w:val="622A4138"/>
    <w:rsid w:val="62385483"/>
    <w:rsid w:val="62385A6C"/>
    <w:rsid w:val="6264223A"/>
    <w:rsid w:val="626F54FE"/>
    <w:rsid w:val="62876D77"/>
    <w:rsid w:val="62CA4AF4"/>
    <w:rsid w:val="62E4371E"/>
    <w:rsid w:val="632045D1"/>
    <w:rsid w:val="6342544F"/>
    <w:rsid w:val="63720424"/>
    <w:rsid w:val="63756700"/>
    <w:rsid w:val="63A31ABC"/>
    <w:rsid w:val="63C65078"/>
    <w:rsid w:val="63EA156F"/>
    <w:rsid w:val="63EA6D88"/>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C2760F"/>
    <w:rsid w:val="675A3B6C"/>
    <w:rsid w:val="67AF7DB6"/>
    <w:rsid w:val="680564C6"/>
    <w:rsid w:val="681B3F7A"/>
    <w:rsid w:val="68233428"/>
    <w:rsid w:val="6844529D"/>
    <w:rsid w:val="687E157A"/>
    <w:rsid w:val="68B54AF7"/>
    <w:rsid w:val="68CA009F"/>
    <w:rsid w:val="695B5920"/>
    <w:rsid w:val="69B35A0D"/>
    <w:rsid w:val="69B8584F"/>
    <w:rsid w:val="69CC607C"/>
    <w:rsid w:val="69EA1163"/>
    <w:rsid w:val="69F96768"/>
    <w:rsid w:val="6A287F98"/>
    <w:rsid w:val="6AB40496"/>
    <w:rsid w:val="6ABD1D5E"/>
    <w:rsid w:val="6AF33939"/>
    <w:rsid w:val="6B2B0EAB"/>
    <w:rsid w:val="6B795D62"/>
    <w:rsid w:val="6B910AA0"/>
    <w:rsid w:val="6BC747F5"/>
    <w:rsid w:val="6BD35CE4"/>
    <w:rsid w:val="6BF623F4"/>
    <w:rsid w:val="6C3014BE"/>
    <w:rsid w:val="6C5D414F"/>
    <w:rsid w:val="6C761A36"/>
    <w:rsid w:val="6C9B65FD"/>
    <w:rsid w:val="6CA324B4"/>
    <w:rsid w:val="6CDE17FD"/>
    <w:rsid w:val="6D1D2C91"/>
    <w:rsid w:val="6D232D3C"/>
    <w:rsid w:val="6D2F5D1E"/>
    <w:rsid w:val="6D59475A"/>
    <w:rsid w:val="6D792112"/>
    <w:rsid w:val="6D9B1357"/>
    <w:rsid w:val="6E641038"/>
    <w:rsid w:val="6EBD0EA6"/>
    <w:rsid w:val="6F435405"/>
    <w:rsid w:val="6F4810D8"/>
    <w:rsid w:val="6F6D2BAA"/>
    <w:rsid w:val="6F8F1120"/>
    <w:rsid w:val="6F9A4A47"/>
    <w:rsid w:val="6FD909A9"/>
    <w:rsid w:val="6FF341FB"/>
    <w:rsid w:val="701710D0"/>
    <w:rsid w:val="701B33A0"/>
    <w:rsid w:val="70607590"/>
    <w:rsid w:val="70795456"/>
    <w:rsid w:val="709946EC"/>
    <w:rsid w:val="70A73F27"/>
    <w:rsid w:val="70B04FD5"/>
    <w:rsid w:val="71A32E24"/>
    <w:rsid w:val="72702455"/>
    <w:rsid w:val="728F2E47"/>
    <w:rsid w:val="72973011"/>
    <w:rsid w:val="72E42D1B"/>
    <w:rsid w:val="731254DC"/>
    <w:rsid w:val="734F0911"/>
    <w:rsid w:val="736054C4"/>
    <w:rsid w:val="736C572D"/>
    <w:rsid w:val="73A422EB"/>
    <w:rsid w:val="74103E55"/>
    <w:rsid w:val="745B622A"/>
    <w:rsid w:val="753E2D2E"/>
    <w:rsid w:val="75DB13A5"/>
    <w:rsid w:val="75E552E3"/>
    <w:rsid w:val="75EC38CD"/>
    <w:rsid w:val="76174057"/>
    <w:rsid w:val="7648538B"/>
    <w:rsid w:val="76577132"/>
    <w:rsid w:val="76BD747C"/>
    <w:rsid w:val="76CD52EB"/>
    <w:rsid w:val="76FE004A"/>
    <w:rsid w:val="77462C4C"/>
    <w:rsid w:val="77A268F6"/>
    <w:rsid w:val="77CC3658"/>
    <w:rsid w:val="780F54C3"/>
    <w:rsid w:val="782C6CF7"/>
    <w:rsid w:val="78680ECD"/>
    <w:rsid w:val="7880670B"/>
    <w:rsid w:val="78EE7F5B"/>
    <w:rsid w:val="78F11CE1"/>
    <w:rsid w:val="78F66955"/>
    <w:rsid w:val="79053EDA"/>
    <w:rsid w:val="79097264"/>
    <w:rsid w:val="791D3993"/>
    <w:rsid w:val="79202162"/>
    <w:rsid w:val="7924138B"/>
    <w:rsid w:val="79826449"/>
    <w:rsid w:val="79A13ED1"/>
    <w:rsid w:val="79D339B9"/>
    <w:rsid w:val="79F724B0"/>
    <w:rsid w:val="7A200C95"/>
    <w:rsid w:val="7A594332"/>
    <w:rsid w:val="7A8564DB"/>
    <w:rsid w:val="7AC22B97"/>
    <w:rsid w:val="7ACB083F"/>
    <w:rsid w:val="7B1F77A4"/>
    <w:rsid w:val="7B292799"/>
    <w:rsid w:val="7B33186F"/>
    <w:rsid w:val="7C090682"/>
    <w:rsid w:val="7C4E6027"/>
    <w:rsid w:val="7C6A6CA8"/>
    <w:rsid w:val="7CC41AB2"/>
    <w:rsid w:val="7CF04E00"/>
    <w:rsid w:val="7D0B04E5"/>
    <w:rsid w:val="7D133070"/>
    <w:rsid w:val="7D41026F"/>
    <w:rsid w:val="7D59343F"/>
    <w:rsid w:val="7DEB7C96"/>
    <w:rsid w:val="7E0A78B3"/>
    <w:rsid w:val="7E2912F3"/>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60" w:lineRule="auto"/>
      <w:outlineLvl w:val="3"/>
    </w:pPr>
    <w:rPr>
      <w:rFonts w:ascii="Arial" w:hAnsi="Arial" w:eastAsia="宋体"/>
      <w:b/>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3"/>
    <w:qFormat/>
    <w:uiPriority w:val="0"/>
    <w:pPr>
      <w:ind w:firstLine="420" w:firstLineChars="100"/>
    </w:pPr>
  </w:style>
  <w:style w:type="paragraph" w:styleId="9">
    <w:name w:val="Body Text First Indent 2"/>
    <w:basedOn w:val="4"/>
    <w:unhideWhenUsed/>
    <w:qFormat/>
    <w:uiPriority w:val="99"/>
    <w:pPr>
      <w:tabs>
        <w:tab w:val="left" w:pos="540"/>
      </w:tabs>
      <w:ind w:firstLine="420" w:firstLineChars="2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1"/>
    <w:qFormat/>
    <w:uiPriority w:val="0"/>
    <w:pPr>
      <w:spacing w:before="25" w:after="25"/>
    </w:pPr>
    <w:rPr>
      <w:bCs/>
      <w:spacing w:val="10"/>
    </w:rPr>
  </w:style>
  <w:style w:type="character" w:customStyle="1" w:styleId="14">
    <w:name w:val="页眉 字符"/>
    <w:basedOn w:val="12"/>
    <w:link w:val="7"/>
    <w:qFormat/>
    <w:uiPriority w:val="99"/>
    <w:rPr>
      <w:rFonts w:ascii="Times New Roman" w:hAnsi="Times New Roman" w:eastAsia="宋体" w:cs="Times New Roman"/>
      <w:sz w:val="18"/>
      <w:szCs w:val="18"/>
    </w:rPr>
  </w:style>
  <w:style w:type="character" w:customStyle="1" w:styleId="15">
    <w:name w:val="页脚 字符"/>
    <w:basedOn w:val="12"/>
    <w:link w:val="6"/>
    <w:qFormat/>
    <w:uiPriority w:val="99"/>
    <w:rPr>
      <w:rFonts w:ascii="Times New Roman" w:hAnsi="Times New Roman" w:eastAsia="宋体" w:cs="Times New Roman"/>
      <w:sz w:val="18"/>
      <w:szCs w:val="18"/>
    </w:rPr>
  </w:style>
  <w:style w:type="character" w:customStyle="1" w:styleId="16">
    <w:name w:val="批注框文本 字符"/>
    <w:basedOn w:val="12"/>
    <w:link w:val="5"/>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6967</Words>
  <Characters>7417</Characters>
  <Lines>74</Lines>
  <Paragraphs>21</Paragraphs>
  <TotalTime>3</TotalTime>
  <ScaleCrop>false</ScaleCrop>
  <LinksUpToDate>false</LinksUpToDate>
  <CharactersWithSpaces>8462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2023-03-01T03:09:06Z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49BECC4BCA164B81BE870CF712344446</vt:lpwstr>
  </property>
</Properties>
</file>