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机械式压缩式管柱开关型封隔器筛管孔径检验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测</w:t>
      </w:r>
      <w:r>
        <w:rPr>
          <w:rFonts w:hint="eastAsia"/>
          <w:b/>
          <w:sz w:val="32"/>
          <w:szCs w:val="32"/>
        </w:rPr>
        <w:t>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cs="Times New Roman"/>
          <w:sz w:val="24"/>
          <w:lang w:val="en-US" w:eastAsia="zh-CN"/>
        </w:rPr>
        <w:t>机械式压缩式管柱开关型封隔器筛管孔径检验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测量方法：</w:t>
      </w:r>
      <w:r>
        <w:rPr>
          <w:rFonts w:hint="eastAsia" w:cs="Times New Roman"/>
          <w:sz w:val="24"/>
          <w:lang w:val="en-US" w:eastAsia="zh-CN"/>
        </w:rPr>
        <w:t>机械式压缩式管柱开关型封隔器筛管孔径检验</w:t>
      </w:r>
      <w:r>
        <w:rPr>
          <w:rFonts w:hint="eastAsia"/>
          <w:sz w:val="24"/>
        </w:rPr>
        <w:t>测量控制规范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cs="Times New Roman"/>
          <w:sz w:val="24"/>
          <w:lang w:val="en-US" w:eastAsia="zh-CN"/>
        </w:rPr>
        <w:t>游标卡尺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（0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～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150）㎜，</w:t>
      </w:r>
      <w:r>
        <w:rPr>
          <w:rFonts w:hint="eastAsia" w:ascii="宋体" w:hAnsi="宋体" w:cs="宋体"/>
          <w:kern w:val="0"/>
          <w:sz w:val="24"/>
        </w:rPr>
        <w:t>最大允许误差：±0.</w:t>
      </w:r>
      <w:r>
        <w:rPr>
          <w:rFonts w:hint="eastAsia" w:ascii="宋体" w:hAnsi="宋体" w:cs="宋体"/>
          <w:kern w:val="0"/>
          <w:sz w:val="24"/>
          <w:lang w:val="en-US" w:eastAsia="zh-CN"/>
        </w:rPr>
        <w:t>03㎜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Times New Roman"/>
          <w:sz w:val="24"/>
          <w:lang w:val="en-US" w:eastAsia="zh-CN"/>
        </w:rPr>
        <w:t>f=m 式中：f为被测物体的内径；m为游标卡尺</w:t>
      </w:r>
      <w:r>
        <w:rPr>
          <w:rFonts w:hint="eastAsia" w:ascii="宋体" w:hAnsi="宋体" w:cs="宋体"/>
          <w:kern w:val="0"/>
          <w:sz w:val="24"/>
          <w:lang w:eastAsia="zh-CN"/>
        </w:rPr>
        <w:t>读数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在同一样品上，</w:t>
      </w: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 w:cs="宋体"/>
          <w:kern w:val="0"/>
          <w:sz w:val="24"/>
          <w:lang w:val="en-US" w:eastAsia="zh-CN"/>
        </w:rPr>
        <w:t>游标卡尺</w:t>
      </w:r>
      <w:r>
        <w:rPr>
          <w:rFonts w:hint="eastAsia" w:ascii="宋体" w:hAnsi="宋体"/>
          <w:sz w:val="24"/>
        </w:rPr>
        <w:t>上连续测量10次，得到一组测量列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为：6.06；6.06；6.02；6.04；6.02；6.04；6.06；6.06；6.04；6.04；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平均值为6.05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/>
          <w:i/>
          <w:iCs/>
          <w:sz w:val="24"/>
          <w:szCs w:val="24"/>
        </w:rPr>
        <w:t>S</w:t>
      </w:r>
      <w:r>
        <w:rPr>
          <w:rFonts w:hint="eastAsia" w:ascii="宋体" w:hAnsi="宋体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</w:t>
      </w:r>
      <w:r>
        <w:rPr>
          <w:rFonts w:hint="eastAsia" w:ascii="宋体" w:hAnsi="宋体" w:cs="宋体"/>
          <w:kern w:val="0"/>
          <w:sz w:val="24"/>
          <w:lang w:val="en-US" w:eastAsia="zh-CN"/>
        </w:rPr>
        <w:t>.02㎜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在实际测量中，在重复性条件下连续测量5次，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=</w:t>
      </w:r>
      <w:r>
        <w:rPr>
          <w:rFonts w:hint="eastAsia" w:ascii="宋体" w:hAnsi="宋体" w:cs="宋体"/>
          <w:kern w:val="0"/>
          <w:sz w:val="24"/>
          <w:lang w:val="en-US" w:eastAsia="zh-CN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=0.009㎜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2.游标卡尺误差引入不确定度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2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游标卡尺的最大允许误差：±0.03㎜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包含因子</w:t>
      </w:r>
      <w:r>
        <w:rPr>
          <w:rFonts w:hint="eastAsia" w:ascii="宋体" w:hAnsi="宋体" w:cs="宋体"/>
          <w:kern w:val="0"/>
          <w:sz w:val="24"/>
          <w:lang w:val="en-US" w:eastAsia="zh-CN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，所以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  <w:vertAlign w:val="baseline"/>
          <w:lang w:val="en-US" w:eastAsia="zh-CN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2</w:t>
      </w:r>
      <w:r>
        <w:rPr>
          <w:rFonts w:hint="eastAsia" w:ascii="宋体" w:hAnsi="宋体"/>
          <w:i/>
          <w:iCs/>
          <w:sz w:val="24"/>
          <w:vertAlign w:val="subscript"/>
          <w:lang w:val="en-US" w:eastAsia="zh-CN"/>
        </w:rPr>
        <w:t xml:space="preserve"> 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mm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3.标准长度的示值误差很小,忽略不计。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red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  <w:highlight w:val="none"/>
        </w:rPr>
        <w:t>0.0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mm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三．扩展不确定度的评定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225" cy="313055"/>
            <wp:effectExtent l="0" t="0" r="3175" b="11430"/>
            <wp:docPr id="1" name="图片 1" descr="28bbf0cb9cdc2a0b5fc880ffcf96b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bbf0cb9cdc2a0b5fc880ffcf96b33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B5B1AE">
                            <a:alpha val="100000"/>
                          </a:srgbClr>
                        </a:clrFrom>
                        <a:clrTo>
                          <a:srgbClr val="B5B1AE">
                            <a:alpha val="100000"/>
                            <a:alpha val="0"/>
                          </a:srgbClr>
                        </a:clrTo>
                      </a:clrChange>
                    </a:blip>
                    <a:srcRect l="26177" t="37180" r="33826" b="40164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=2×0.0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≈0.0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1OWU0YmQyNWZkMTU3OTYzZDM4MGQxY2JmYTdiMjQifQ=="/>
  </w:docVars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66BF3"/>
    <w:rsid w:val="00F77404"/>
    <w:rsid w:val="00FD7565"/>
    <w:rsid w:val="02887A52"/>
    <w:rsid w:val="02B24224"/>
    <w:rsid w:val="03CC058D"/>
    <w:rsid w:val="08CF697F"/>
    <w:rsid w:val="09096A95"/>
    <w:rsid w:val="0B275583"/>
    <w:rsid w:val="0C71719C"/>
    <w:rsid w:val="0D54441E"/>
    <w:rsid w:val="109C68F0"/>
    <w:rsid w:val="121D240E"/>
    <w:rsid w:val="12A15CB4"/>
    <w:rsid w:val="136368D1"/>
    <w:rsid w:val="15C076E4"/>
    <w:rsid w:val="1837167A"/>
    <w:rsid w:val="1B107830"/>
    <w:rsid w:val="1BA35BD7"/>
    <w:rsid w:val="210350E4"/>
    <w:rsid w:val="21076E11"/>
    <w:rsid w:val="21DD1990"/>
    <w:rsid w:val="230E2678"/>
    <w:rsid w:val="25867065"/>
    <w:rsid w:val="26A65FA4"/>
    <w:rsid w:val="28557C21"/>
    <w:rsid w:val="2901378B"/>
    <w:rsid w:val="292B325A"/>
    <w:rsid w:val="2D272F43"/>
    <w:rsid w:val="2E660942"/>
    <w:rsid w:val="3014509E"/>
    <w:rsid w:val="31031B0D"/>
    <w:rsid w:val="312D5B4E"/>
    <w:rsid w:val="31CD615F"/>
    <w:rsid w:val="32730866"/>
    <w:rsid w:val="365B001A"/>
    <w:rsid w:val="3B217033"/>
    <w:rsid w:val="3B50796F"/>
    <w:rsid w:val="3BBC30F0"/>
    <w:rsid w:val="3BC94D8E"/>
    <w:rsid w:val="3D016E9D"/>
    <w:rsid w:val="3D962926"/>
    <w:rsid w:val="3DA97A20"/>
    <w:rsid w:val="419751D3"/>
    <w:rsid w:val="42F54D55"/>
    <w:rsid w:val="43B22082"/>
    <w:rsid w:val="456B4699"/>
    <w:rsid w:val="4B1A3C6B"/>
    <w:rsid w:val="4B991F11"/>
    <w:rsid w:val="4EA00C5C"/>
    <w:rsid w:val="526B3F2A"/>
    <w:rsid w:val="52CC7E97"/>
    <w:rsid w:val="56FD0556"/>
    <w:rsid w:val="5D3E5D78"/>
    <w:rsid w:val="5E051B03"/>
    <w:rsid w:val="5F5E450F"/>
    <w:rsid w:val="60640723"/>
    <w:rsid w:val="64E93372"/>
    <w:rsid w:val="6646754B"/>
    <w:rsid w:val="676A4E9C"/>
    <w:rsid w:val="708E0344"/>
    <w:rsid w:val="72C27B45"/>
    <w:rsid w:val="734339A0"/>
    <w:rsid w:val="73575437"/>
    <w:rsid w:val="74572770"/>
    <w:rsid w:val="74A0634E"/>
    <w:rsid w:val="77BA36C5"/>
    <w:rsid w:val="7F277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361</Words>
  <Characters>450</Characters>
  <Lines>4</Lines>
  <Paragraphs>1</Paragraphs>
  <TotalTime>6</TotalTime>
  <ScaleCrop>false</ScaleCrop>
  <LinksUpToDate>false</LinksUpToDate>
  <CharactersWithSpaces>479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李修权</cp:lastModifiedBy>
  <cp:lastPrinted>2018-01-06T07:58:00Z</cp:lastPrinted>
  <dcterms:modified xsi:type="dcterms:W3CDTF">2023-02-24T02:02:55Z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4D361C3E98664CD7BC7989680D558886</vt:lpwstr>
  </property>
</Properties>
</file>