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0082-2022-Q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烟台尚乎数码科技有限公司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pStyle w:val="2"/>
      </w:pPr>
    </w:p>
    <w:p>
      <w:pPr>
        <w:pStyle w:val="2"/>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烟台尚乎数码科技有限公司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山东省蓬莱经济开发区</w:t>
            </w:r>
            <w:bookmarkEnd w:id="6"/>
          </w:p>
        </w:tc>
        <w:tc>
          <w:tcPr>
            <w:tcW w:w="1242" w:type="dxa"/>
            <w:vMerge w:val="restart"/>
            <w:vAlign w:val="center"/>
          </w:tcPr>
          <w:p>
            <w:r>
              <w:rPr>
                <w:rFonts w:hint="eastAsia"/>
              </w:rPr>
              <w:t>邮编</w:t>
            </w:r>
          </w:p>
        </w:tc>
        <w:tc>
          <w:tcPr>
            <w:tcW w:w="1771" w:type="dxa"/>
          </w:tcPr>
          <w:p>
            <w:bookmarkStart w:id="7" w:name="注册邮编"/>
            <w:r>
              <w:t>265607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蓬莱经济开发区北京路6号</w:t>
            </w:r>
            <w:bookmarkEnd w:id="8"/>
          </w:p>
        </w:tc>
        <w:tc>
          <w:tcPr>
            <w:tcW w:w="1242" w:type="dxa"/>
            <w:vMerge w:val="continue"/>
            <w:vAlign w:val="center"/>
          </w:tcPr>
          <w:p/>
        </w:tc>
        <w:tc>
          <w:tcPr>
            <w:tcW w:w="1771" w:type="dxa"/>
          </w:tcPr>
          <w:p>
            <w:bookmarkStart w:id="9" w:name="办公邮编"/>
            <w:r>
              <w:t>265607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rPr>
                <w:rFonts w:hint="eastAsia"/>
                <w:sz w:val="21"/>
                <w:szCs w:val="21"/>
                <w:lang w:val="en-US" w:eastAsia="zh-CN"/>
              </w:rPr>
              <w:t>毛志勇</w:t>
            </w:r>
          </w:p>
        </w:tc>
        <w:tc>
          <w:tcPr>
            <w:tcW w:w="1313" w:type="dxa"/>
            <w:vAlign w:val="center"/>
          </w:tcPr>
          <w:p>
            <w:r>
              <w:rPr>
                <w:rFonts w:hint="eastAsia"/>
              </w:rPr>
              <w:t>电话.</w:t>
            </w:r>
          </w:p>
        </w:tc>
        <w:tc>
          <w:tcPr>
            <w:tcW w:w="2180" w:type="dxa"/>
            <w:vAlign w:val="center"/>
          </w:tcPr>
          <w:p>
            <w:r>
              <w:rPr>
                <w:rFonts w:hint="eastAsia"/>
                <w:sz w:val="21"/>
                <w:szCs w:val="21"/>
              </w:rPr>
              <w:t>13995523185</w:t>
            </w:r>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纪立军</w:t>
            </w:r>
            <w:bookmarkEnd w:id="11"/>
          </w:p>
        </w:tc>
        <w:tc>
          <w:tcPr>
            <w:tcW w:w="1313" w:type="dxa"/>
            <w:vAlign w:val="center"/>
          </w:tcPr>
          <w:p>
            <w:r>
              <w:rPr>
                <w:rFonts w:hint="eastAsia"/>
              </w:rPr>
              <w:t>管理者代表</w:t>
            </w:r>
          </w:p>
        </w:tc>
        <w:tc>
          <w:tcPr>
            <w:tcW w:w="2180" w:type="dxa"/>
          </w:tcPr>
          <w:p>
            <w:r>
              <w:rPr>
                <w:rFonts w:hint="eastAsia"/>
                <w:sz w:val="21"/>
                <w:szCs w:val="21"/>
                <w:lang w:val="en-US" w:eastAsia="zh-CN"/>
              </w:rPr>
              <w:t>毛志勇</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5"/>
            <w:shd w:val="clear" w:color="auto" w:fill="auto"/>
          </w:tcPr>
          <w:p>
            <w:pPr>
              <w:snapToGrid w:val="0"/>
              <w:spacing w:line="280" w:lineRule="exact"/>
              <w:rPr>
                <w:b/>
                <w:sz w:val="20"/>
              </w:rPr>
            </w:pPr>
            <w:r>
              <w:rPr>
                <w:rFonts w:hint="eastAsia"/>
                <w:b/>
                <w:sz w:val="20"/>
              </w:rPr>
              <w:t>丝巾：</w:t>
            </w:r>
          </w:p>
          <w:p>
            <w:pPr>
              <w:snapToGrid w:val="0"/>
              <w:spacing w:line="280" w:lineRule="exact"/>
              <w:rPr>
                <w:b/>
                <w:sz w:val="20"/>
              </w:rPr>
            </w:pPr>
            <w:r>
              <w:rPr>
                <w:sz w:val="24"/>
              </w:rPr>
              <w:drawing>
                <wp:anchor distT="0" distB="0" distL="114300" distR="114300" simplePos="0" relativeHeight="251662336" behindDoc="0" locked="0" layoutInCell="1" allowOverlap="1">
                  <wp:simplePos x="0" y="0"/>
                  <wp:positionH relativeFrom="column">
                    <wp:posOffset>1905</wp:posOffset>
                  </wp:positionH>
                  <wp:positionV relativeFrom="paragraph">
                    <wp:posOffset>39370</wp:posOffset>
                  </wp:positionV>
                  <wp:extent cx="2600325" cy="7581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biLevel thresh="50000"/>
                            <a:grayscl/>
                            <a:extLst>
                              <a:ext uri="{28A0092B-C50C-407E-A947-70E740481C1C}">
                                <a14:useLocalDpi xmlns:a14="http://schemas.microsoft.com/office/drawing/2010/main" val="0"/>
                              </a:ext>
                            </a:extLst>
                          </a:blip>
                          <a:srcRect/>
                          <a:stretch>
                            <a:fillRect/>
                          </a:stretch>
                        </pic:blipFill>
                        <pic:spPr>
                          <a:xfrm>
                            <a:off x="0" y="0"/>
                            <a:ext cx="2600325" cy="758190"/>
                          </a:xfrm>
                          <a:prstGeom prst="rect">
                            <a:avLst/>
                          </a:prstGeom>
                          <a:noFill/>
                        </pic:spPr>
                      </pic:pic>
                    </a:graphicData>
                  </a:graphic>
                </wp:anchor>
              </w:drawing>
            </w:r>
          </w:p>
          <w:p>
            <w:pPr>
              <w:snapToGrid w:val="0"/>
              <w:spacing w:line="280" w:lineRule="exact"/>
              <w:rPr>
                <w:b/>
                <w:sz w:val="20"/>
              </w:rPr>
            </w:pPr>
          </w:p>
          <w:p>
            <w:pPr>
              <w:snapToGrid w:val="0"/>
              <w:spacing w:line="280" w:lineRule="exact"/>
              <w:rPr>
                <w:b/>
                <w:sz w:val="20"/>
              </w:rPr>
            </w:pPr>
          </w:p>
          <w:p>
            <w:pPr>
              <w:snapToGrid w:val="0"/>
              <w:spacing w:line="280" w:lineRule="exact"/>
              <w:rPr>
                <w:b/>
                <w:sz w:val="20"/>
              </w:rPr>
            </w:pPr>
          </w:p>
          <w:p>
            <w:pPr>
              <w:snapToGrid w:val="0"/>
              <w:spacing w:line="280" w:lineRule="exact"/>
              <w:rPr>
                <w:b/>
                <w:sz w:val="20"/>
              </w:rPr>
            </w:pPr>
          </w:p>
          <w:p>
            <w:pPr>
              <w:snapToGrid w:val="0"/>
              <w:spacing w:line="280" w:lineRule="exact"/>
              <w:rPr>
                <w:b/>
                <w:sz w:val="20"/>
              </w:rPr>
            </w:pPr>
            <w:r>
              <w:rPr>
                <w:rFonts w:hint="eastAsia"/>
                <w:b/>
                <w:sz w:val="20"/>
              </w:rPr>
              <w:t>服装：</w:t>
            </w:r>
          </w:p>
          <w:p>
            <w:pPr>
              <w:snapToGrid w:val="0"/>
              <w:spacing w:line="280" w:lineRule="exact"/>
              <w:rPr>
                <w:b/>
                <w:sz w:val="20"/>
              </w:rPr>
            </w:pPr>
            <w:r>
              <w:rPr>
                <w:sz w:val="24"/>
              </w:rPr>
              <w:drawing>
                <wp:anchor distT="0" distB="0" distL="114300" distR="114300" simplePos="0" relativeHeight="251663360" behindDoc="0" locked="0" layoutInCell="1" allowOverlap="1">
                  <wp:simplePos x="0" y="0"/>
                  <wp:positionH relativeFrom="column">
                    <wp:posOffset>13335</wp:posOffset>
                  </wp:positionH>
                  <wp:positionV relativeFrom="paragraph">
                    <wp:posOffset>88265</wp:posOffset>
                  </wp:positionV>
                  <wp:extent cx="4051300" cy="44894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biLevel thresh="50000"/>
                            <a:grayscl/>
                            <a:extLst>
                              <a:ext uri="{28A0092B-C50C-407E-A947-70E740481C1C}">
                                <a14:useLocalDpi xmlns:a14="http://schemas.microsoft.com/office/drawing/2010/main" val="0"/>
                              </a:ext>
                            </a:extLst>
                          </a:blip>
                          <a:srcRect/>
                          <a:stretch>
                            <a:fillRect/>
                          </a:stretch>
                        </pic:blipFill>
                        <pic:spPr>
                          <a:xfrm>
                            <a:off x="0" y="0"/>
                            <a:ext cx="4051300" cy="448945"/>
                          </a:xfrm>
                          <a:prstGeom prst="rect">
                            <a:avLst/>
                          </a:prstGeom>
                          <a:noFill/>
                        </pic:spPr>
                      </pic:pic>
                    </a:graphicData>
                  </a:graphic>
                </wp:anchor>
              </w:drawing>
            </w:r>
          </w:p>
          <w:p>
            <w:pPr>
              <w:snapToGrid w:val="0"/>
              <w:spacing w:line="280" w:lineRule="exact"/>
              <w:rPr>
                <w:b/>
                <w:sz w:val="20"/>
              </w:rPr>
            </w:pPr>
          </w:p>
          <w:p>
            <w:pPr>
              <w:snapToGrid w:val="0"/>
              <w:spacing w:line="280" w:lineRule="exact"/>
              <w:rPr>
                <w:b/>
                <w:sz w:val="20"/>
              </w:rPr>
            </w:pPr>
          </w:p>
          <w:p>
            <w:pPr>
              <w:snapToGrid w:val="0"/>
              <w:spacing w:line="280" w:lineRule="exact"/>
              <w:rPr>
                <w:b/>
                <w:sz w:val="20"/>
              </w:rPr>
            </w:pPr>
          </w:p>
          <w:p>
            <w:pPr>
              <w:snapToGrid w:val="0"/>
              <w:spacing w:line="280" w:lineRule="exact"/>
              <w:rPr>
                <w:b/>
                <w:sz w:val="20"/>
              </w:rPr>
            </w:pPr>
            <w:r>
              <w:rPr>
                <w:rFonts w:hint="eastAsia"/>
                <w:b/>
                <w:sz w:val="20"/>
              </w:rPr>
              <w:t>袜子：</w:t>
            </w:r>
          </w:p>
          <w:p>
            <w:pPr>
              <w:snapToGrid w:val="0"/>
              <w:spacing w:line="280" w:lineRule="exact"/>
              <w:rPr>
                <w:b/>
                <w:sz w:val="20"/>
              </w:rPr>
            </w:pPr>
          </w:p>
          <w:p>
            <w:pPr>
              <w:snapToGrid w:val="0"/>
              <w:spacing w:line="280" w:lineRule="exact"/>
              <w:rPr>
                <w:b/>
                <w:sz w:val="20"/>
              </w:rPr>
            </w:pPr>
            <w:r>
              <w:rPr>
                <w:sz w:val="24"/>
              </w:rPr>
              <w:drawing>
                <wp:anchor distT="0" distB="0" distL="114300" distR="114300" simplePos="0" relativeHeight="251664384" behindDoc="0" locked="0" layoutInCell="1" allowOverlap="1">
                  <wp:simplePos x="0" y="0"/>
                  <wp:positionH relativeFrom="column">
                    <wp:posOffset>3810</wp:posOffset>
                  </wp:positionH>
                  <wp:positionV relativeFrom="paragraph">
                    <wp:posOffset>16510</wp:posOffset>
                  </wp:positionV>
                  <wp:extent cx="3852545" cy="100203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biLevel thresh="50000"/>
                            <a:grayscl/>
                            <a:extLst>
                              <a:ext uri="{28A0092B-C50C-407E-A947-70E740481C1C}">
                                <a14:useLocalDpi xmlns:a14="http://schemas.microsoft.com/office/drawing/2010/main" val="0"/>
                              </a:ext>
                            </a:extLst>
                          </a:blip>
                          <a:srcRect/>
                          <a:stretch>
                            <a:fillRect/>
                          </a:stretch>
                        </pic:blipFill>
                        <pic:spPr>
                          <a:xfrm>
                            <a:off x="0" y="0"/>
                            <a:ext cx="3852545" cy="1002030"/>
                          </a:xfrm>
                          <a:prstGeom prst="rect">
                            <a:avLst/>
                          </a:prstGeom>
                          <a:noFill/>
                        </pic:spPr>
                      </pic:pic>
                    </a:graphicData>
                  </a:graphic>
                </wp:anchor>
              </w:drawing>
            </w:r>
          </w:p>
          <w:p>
            <w:pPr>
              <w:snapToGrid w:val="0"/>
              <w:spacing w:line="280" w:lineRule="exact"/>
              <w:rPr>
                <w:b/>
                <w:sz w:val="20"/>
              </w:rPr>
            </w:pPr>
          </w:p>
          <w:p>
            <w:pPr>
              <w:snapToGrid w:val="0"/>
              <w:spacing w:line="280" w:lineRule="exact"/>
              <w:rPr>
                <w:b/>
                <w:sz w:val="20"/>
              </w:rPr>
            </w:pPr>
          </w:p>
          <w:p>
            <w:pPr>
              <w:snapToGrid w:val="0"/>
              <w:spacing w:line="280" w:lineRule="exact"/>
              <w:rPr>
                <w:b/>
                <w:sz w:val="20"/>
              </w:rPr>
            </w:pPr>
          </w:p>
          <w:p>
            <w:pPr>
              <w:snapToGrid w:val="0"/>
              <w:spacing w:line="280" w:lineRule="exact"/>
              <w:rPr>
                <w:b/>
                <w:sz w:val="20"/>
              </w:rPr>
            </w:pPr>
          </w:p>
          <w:p>
            <w:pPr>
              <w:snapToGrid w:val="0"/>
              <w:spacing w:line="280" w:lineRule="exact"/>
              <w:rPr>
                <w:b/>
                <w:sz w:val="20"/>
              </w:rPr>
            </w:pPr>
          </w:p>
          <w:p>
            <w:pPr>
              <w:tabs>
                <w:tab w:val="left" w:pos="360"/>
              </w:tabs>
              <w:ind w:left="360" w:hanging="360"/>
              <w:rPr>
                <w:rFonts w:ascii="宋体"/>
                <w:color w:val="000000"/>
                <w:szCs w:val="21"/>
              </w:rPr>
            </w:pP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2" w:name="审核日期"/>
            <w:r>
              <w:rPr>
                <w:rFonts w:hint="eastAsia"/>
              </w:rPr>
              <w:t>202</w:t>
            </w:r>
            <w:r>
              <w:rPr>
                <w:rFonts w:hint="eastAsia"/>
                <w:lang w:val="en-US" w:eastAsia="zh-CN"/>
              </w:rPr>
              <w:t>3</w:t>
            </w:r>
            <w:r>
              <w:rPr>
                <w:rFonts w:hint="eastAsia"/>
              </w:rPr>
              <w:t>年0</w:t>
            </w:r>
            <w:r>
              <w:rPr>
                <w:rFonts w:hint="eastAsia"/>
                <w:lang w:val="en-US" w:eastAsia="zh-CN"/>
              </w:rPr>
              <w:t>3</w:t>
            </w:r>
            <w:r>
              <w:rPr>
                <w:rFonts w:hint="eastAsia"/>
              </w:rPr>
              <w:t>月1</w:t>
            </w:r>
            <w:r>
              <w:rPr>
                <w:rFonts w:hint="eastAsia"/>
                <w:lang w:val="en-US" w:eastAsia="zh-CN"/>
              </w:rPr>
              <w:t>1</w:t>
            </w:r>
            <w:r>
              <w:rPr>
                <w:rFonts w:hint="eastAsia"/>
              </w:rPr>
              <w:t>日 上午至202</w:t>
            </w:r>
            <w:r>
              <w:rPr>
                <w:rFonts w:hint="eastAsia"/>
                <w:lang w:val="en-US" w:eastAsia="zh-CN"/>
              </w:rPr>
              <w:t>3</w:t>
            </w:r>
            <w:r>
              <w:rPr>
                <w:rFonts w:hint="eastAsia"/>
              </w:rPr>
              <w:t>年0</w:t>
            </w:r>
            <w:r>
              <w:rPr>
                <w:rFonts w:hint="eastAsia"/>
                <w:lang w:val="en-US" w:eastAsia="zh-CN"/>
              </w:rPr>
              <w:t>3</w:t>
            </w:r>
            <w:r>
              <w:rPr>
                <w:rFonts w:hint="eastAsia"/>
              </w:rPr>
              <w:t>月1</w:t>
            </w:r>
            <w:r>
              <w:rPr>
                <w:rFonts w:hint="eastAsia"/>
                <w:lang w:val="en-US" w:eastAsia="zh-CN"/>
              </w:rPr>
              <w:t>1</w:t>
            </w:r>
            <w:r>
              <w:rPr>
                <w:rFonts w:hint="eastAsia"/>
              </w:rPr>
              <w:t>日 下午</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3" w:name="监督勾选"/>
            <w:r>
              <w:rPr>
                <w:rFonts w:hint="eastAsia"/>
              </w:rPr>
              <w:t>□</w:t>
            </w:r>
            <w:bookmarkEnd w:id="13"/>
            <w:r>
              <w:rPr>
                <w:rFonts w:hint="eastAsia"/>
              </w:rPr>
              <w:t>初审二阶段：评价组织管理体系建立、实施运行的符合性及有效性，以确定是否推荐认证注册。</w:t>
            </w:r>
          </w:p>
          <w:p>
            <w:bookmarkStart w:id="14" w:name="初审"/>
            <w:r>
              <w:rPr>
                <w:rFonts w:hint="eastAsia"/>
              </w:rPr>
              <w:t>■</w:t>
            </w:r>
            <w:bookmarkEnd w:id="14"/>
            <w:r>
              <w:rPr>
                <w:rFonts w:hint="eastAsia"/>
              </w:rPr>
              <w:t>监督审核：评价组织管理体系的持续符合性和有效性，以确定是否推荐保持认证证书。</w:t>
            </w:r>
          </w:p>
          <w:p>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bookmarkStart w:id="16" w:name="扩项勾选"/>
            <w:r>
              <w:rPr>
                <w:rFonts w:hint="eastAsia"/>
              </w:rPr>
              <w:t>□</w:t>
            </w:r>
            <w:bookmarkEnd w:id="16"/>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8" w:name="QJ勾选Add1"/>
            <w:r>
              <w:rPr>
                <w:rFonts w:hint="eastAsia"/>
                <w:lang w:val="de-DE"/>
              </w:rPr>
              <w:t>□</w:t>
            </w:r>
            <w:bookmarkEnd w:id="18"/>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rPr>
              <w:t>■</w:t>
            </w:r>
            <w:r>
              <w:rPr>
                <w:rFonts w:hint="eastAsia"/>
                <w:lang w:val="de-DE"/>
              </w:rPr>
              <w:t>受审核方</w:t>
            </w:r>
            <w:r>
              <w:rPr>
                <w:rFonts w:hint="eastAsia"/>
              </w:rPr>
              <w:t>管理体系成文信息■顾客要求</w:t>
            </w:r>
          </w:p>
          <w:p>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□初审二阶段</w:t>
            </w:r>
            <w:bookmarkStart w:id="21" w:name="监督勾选Add1"/>
            <w:r>
              <w:rPr>
                <w:rFonts w:hint="eastAsia"/>
              </w:rPr>
              <w:t xml:space="preserve">  </w:t>
            </w:r>
            <w:bookmarkEnd w:id="21"/>
            <w:bookmarkStart w:id="22" w:name="二阶段勾选"/>
            <w:r>
              <w:rPr>
                <w:rFonts w:hint="eastAsia"/>
              </w:rPr>
              <w:t>■</w:t>
            </w:r>
            <w:bookmarkEnd w:id="22"/>
            <w:r>
              <w:rPr>
                <w:rFonts w:hint="eastAsia"/>
              </w:rPr>
              <w:t>监督第</w:t>
            </w:r>
            <w:bookmarkStart w:id="23" w:name="监督次数"/>
            <w:bookmarkEnd w:id="23"/>
            <w:r>
              <w:rPr>
                <w:rFonts w:hint="eastAsia"/>
                <w:lang w:val="en-US" w:eastAsia="zh-CN"/>
              </w:rPr>
              <w:t>1</w:t>
            </w:r>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蓬莱经济开发区北京路6号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6" w:name="审核范围"/>
            <w:r>
              <w:t>丝巾、服装、袜子的制造（数码印花）</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04.03.00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w:t>
            </w:r>
            <w:r>
              <w:rPr>
                <w:rFonts w:hint="eastAsia"/>
                <w:lang w:val="en-US" w:eastAsia="zh-CN"/>
              </w:rPr>
              <w:t>2</w:t>
            </w:r>
            <w:r>
              <w:rPr>
                <w:rFonts w:hint="eastAsia"/>
              </w:rPr>
              <w:t>年10月1日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2025</w:t>
            </w:r>
            <w:r>
              <w:rPr>
                <w:rFonts w:hint="eastAsia"/>
              </w:rPr>
              <w:t>年</w:t>
            </w:r>
            <w:r>
              <w:rPr>
                <w:rFonts w:hint="eastAsia"/>
                <w:lang w:val="en-US" w:eastAsia="zh-CN"/>
              </w:rPr>
              <w:t>3</w:t>
            </w:r>
            <w:r>
              <w:rPr>
                <w:rFonts w:hint="eastAsia"/>
              </w:rPr>
              <w:t>月</w:t>
            </w:r>
            <w:r>
              <w:rPr>
                <w:rFonts w:hint="eastAsia"/>
                <w:lang w:val="en-US" w:eastAsia="zh-CN"/>
              </w:rPr>
              <w:t>3</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80"/>
        <w:gridCol w:w="1842"/>
        <w:gridCol w:w="851"/>
        <w:gridCol w:w="2268"/>
        <w:gridCol w:w="213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480" w:type="dxa"/>
            <w:shd w:val="clear" w:color="auto" w:fill="F3F3F3"/>
            <w:tcMar>
              <w:left w:w="57" w:type="dxa"/>
              <w:right w:w="57" w:type="dxa"/>
            </w:tcMar>
          </w:tcPr>
          <w:p>
            <w:r>
              <w:rPr>
                <w:rFonts w:hint="eastAsia"/>
              </w:rPr>
              <w:t>组织名称及注册场所地址</w:t>
            </w:r>
          </w:p>
        </w:tc>
        <w:tc>
          <w:tcPr>
            <w:tcW w:w="1842" w:type="dxa"/>
            <w:shd w:val="clear" w:color="auto" w:fill="F3F3F3"/>
            <w:tcMar>
              <w:left w:w="57" w:type="dxa"/>
              <w:right w:w="57" w:type="dxa"/>
            </w:tcMar>
          </w:tcPr>
          <w:p>
            <w:r>
              <w:rPr>
                <w:rFonts w:hint="eastAsia"/>
              </w:rPr>
              <w:t>经营场所的地址</w:t>
            </w:r>
          </w:p>
          <w:p>
            <w:r>
              <w:rPr>
                <w:rFonts w:hint="eastAsia"/>
              </w:rPr>
              <w:t>（多现场和临时现场）</w:t>
            </w:r>
          </w:p>
        </w:tc>
        <w:tc>
          <w:tcPr>
            <w:tcW w:w="851" w:type="dxa"/>
            <w:shd w:val="clear" w:color="auto" w:fill="F3F3F3"/>
            <w:tcMar>
              <w:left w:w="57" w:type="dxa"/>
              <w:right w:w="57" w:type="dxa"/>
            </w:tcMar>
          </w:tcPr>
          <w:p>
            <w:r>
              <w:rPr>
                <w:rFonts w:hint="eastAsia"/>
              </w:rPr>
              <w:t>员工人数</w:t>
            </w:r>
          </w:p>
        </w:tc>
        <w:tc>
          <w:tcPr>
            <w:tcW w:w="2268" w:type="dxa"/>
            <w:shd w:val="clear" w:color="auto" w:fill="F3F3F3"/>
            <w:tcMar>
              <w:left w:w="57" w:type="dxa"/>
              <w:right w:w="57" w:type="dxa"/>
            </w:tcMar>
          </w:tcPr>
          <w:p>
            <w:r>
              <w:rPr>
                <w:rFonts w:hint="eastAsia"/>
              </w:rPr>
              <w:t>审核范围（产品和过程）</w:t>
            </w:r>
          </w:p>
          <w:p/>
          <w:p/>
        </w:tc>
        <w:tc>
          <w:tcPr>
            <w:tcW w:w="213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480" w:type="dxa"/>
          </w:tcPr>
          <w:p>
            <w:pPr>
              <w:spacing w:before="40" w:after="40"/>
              <w:rPr>
                <w:rFonts w:eastAsia="黑体"/>
                <w:szCs w:val="21"/>
                <w:lang w:eastAsia="ja-JP"/>
              </w:rPr>
            </w:pPr>
            <w:r>
              <w:rPr>
                <w:rFonts w:hint="eastAsia"/>
                <w:szCs w:val="21"/>
              </w:rPr>
              <w:t>山东省蓬莱经济开发区</w:t>
            </w:r>
          </w:p>
        </w:tc>
        <w:tc>
          <w:tcPr>
            <w:tcW w:w="1842" w:type="dxa"/>
          </w:tcPr>
          <w:p>
            <w:pPr>
              <w:spacing w:before="40" w:after="40"/>
              <w:rPr>
                <w:rFonts w:eastAsia="黑体"/>
                <w:szCs w:val="21"/>
                <w:lang w:val="de-DE" w:eastAsia="ja-JP"/>
              </w:rPr>
            </w:pPr>
            <w:r>
              <w:rPr>
                <w:rFonts w:hint="eastAsia"/>
                <w:szCs w:val="21"/>
              </w:rPr>
              <w:t>蓬莱经济开发区北京路</w:t>
            </w:r>
            <w:r>
              <w:rPr>
                <w:szCs w:val="21"/>
              </w:rPr>
              <w:t>6</w:t>
            </w:r>
            <w:r>
              <w:rPr>
                <w:rFonts w:hint="eastAsia"/>
                <w:szCs w:val="21"/>
              </w:rPr>
              <w:t>号</w:t>
            </w:r>
          </w:p>
        </w:tc>
        <w:tc>
          <w:tcPr>
            <w:tcW w:w="851" w:type="dxa"/>
            <w:vAlign w:val="center"/>
          </w:tcPr>
          <w:p>
            <w:pPr>
              <w:spacing w:before="40" w:after="40"/>
              <w:rPr>
                <w:rFonts w:eastAsia="黑体"/>
                <w:szCs w:val="21"/>
              </w:rPr>
            </w:pPr>
            <w:r>
              <w:rPr>
                <w:rFonts w:hint="eastAsia" w:eastAsia="黑体"/>
                <w:szCs w:val="21"/>
              </w:rPr>
              <w:t>42</w:t>
            </w:r>
          </w:p>
        </w:tc>
        <w:tc>
          <w:tcPr>
            <w:tcW w:w="2268" w:type="dxa"/>
            <w:vAlign w:val="center"/>
          </w:tcPr>
          <w:p>
            <w:pPr>
              <w:pStyle w:val="22"/>
              <w:rPr>
                <w:rFonts w:eastAsia="黑体" w:cs="Arial"/>
                <w:sz w:val="21"/>
                <w:szCs w:val="21"/>
                <w:lang w:val="en-US" w:eastAsia="ja-JP"/>
              </w:rPr>
            </w:pPr>
            <w:r>
              <w:rPr>
                <w:rFonts w:hint="eastAsia" w:ascii="宋体" w:hAnsi="宋体" w:eastAsia="宋体" w:cs="宋体"/>
              </w:rPr>
              <w:t>丝巾、服装、袜子的制造（数码印花）</w:t>
            </w:r>
          </w:p>
        </w:tc>
        <w:tc>
          <w:tcPr>
            <w:tcW w:w="2136" w:type="dxa"/>
            <w:vAlign w:val="center"/>
          </w:tcPr>
          <w:p>
            <w:pPr>
              <w:spacing w:before="40" w:after="40"/>
              <w:jc w:val="left"/>
              <w:rPr>
                <w:b w:val="0"/>
                <w:bCs/>
                <w:sz w:val="20"/>
                <w:lang w:val="de-DE"/>
              </w:rPr>
            </w:pPr>
            <w:bookmarkStart w:id="28" w:name="审核依据"/>
            <w:r>
              <w:rPr>
                <w:b w:val="0"/>
                <w:bCs/>
                <w:sz w:val="20"/>
                <w:lang w:val="de-DE"/>
              </w:rPr>
              <w:t>Q</w:t>
            </w:r>
            <w:r>
              <w:rPr>
                <w:rFonts w:hint="eastAsia"/>
                <w:b w:val="0"/>
                <w:bCs/>
                <w:sz w:val="20"/>
                <w:lang w:val="de-DE"/>
              </w:rPr>
              <w:t>：</w:t>
            </w:r>
            <w:r>
              <w:rPr>
                <w:b w:val="0"/>
                <w:bCs/>
                <w:sz w:val="20"/>
                <w:lang w:val="de-DE"/>
              </w:rPr>
              <w:t>GB/T19001-2016/</w:t>
            </w:r>
          </w:p>
          <w:p>
            <w:pPr>
              <w:spacing w:before="40" w:after="40"/>
              <w:jc w:val="left"/>
              <w:rPr>
                <w:rFonts w:eastAsia="黑体"/>
                <w:szCs w:val="21"/>
                <w:lang w:eastAsia="ja-JP"/>
              </w:rPr>
            </w:pPr>
            <w:r>
              <w:rPr>
                <w:b w:val="0"/>
                <w:bCs/>
                <w:sz w:val="20"/>
                <w:lang w:val="de-DE"/>
              </w:rPr>
              <w:t>ISO9001:2015</w:t>
            </w:r>
            <w:bookmarkEnd w:id="28"/>
          </w:p>
        </w:tc>
        <w:tc>
          <w:tcPr>
            <w:tcW w:w="668" w:type="dxa"/>
            <w:shd w:val="clear" w:color="auto" w:fill="FFFFFF"/>
          </w:tcPr>
          <w:p>
            <w:pPr>
              <w:rPr>
                <w:rFonts w:eastAsia="黑体"/>
                <w:szCs w:val="21"/>
              </w:rPr>
            </w:pPr>
            <w:r>
              <w:rPr>
                <w:rFonts w:hint="eastAsia" w:ascii="MS Gothic" w:hAnsi="MS Gothic" w:eastAsia="MS Gothic"/>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480" w:type="dxa"/>
            <w:vAlign w:val="center"/>
          </w:tcPr>
          <w:p>
            <w:pPr>
              <w:rPr>
                <w:lang w:eastAsia="ja-JP"/>
              </w:rPr>
            </w:pPr>
          </w:p>
        </w:tc>
        <w:tc>
          <w:tcPr>
            <w:tcW w:w="1842" w:type="dxa"/>
            <w:vAlign w:val="center"/>
          </w:tcPr>
          <w:p>
            <w:pPr>
              <w:rPr>
                <w:lang w:eastAsia="ja-JP"/>
              </w:rPr>
            </w:pPr>
          </w:p>
        </w:tc>
        <w:tc>
          <w:tcPr>
            <w:tcW w:w="851" w:type="dxa"/>
            <w:vAlign w:val="center"/>
          </w:tcPr>
          <w:p>
            <w:pPr>
              <w:rPr>
                <w:lang w:eastAsia="ja-JP"/>
              </w:rPr>
            </w:pPr>
          </w:p>
        </w:tc>
        <w:tc>
          <w:tcPr>
            <w:tcW w:w="2268" w:type="dxa"/>
            <w:vAlign w:val="center"/>
          </w:tcPr>
          <w:p>
            <w:pPr>
              <w:rPr>
                <w:lang w:eastAsia="ja-JP"/>
              </w:rPr>
            </w:pPr>
          </w:p>
        </w:tc>
        <w:tc>
          <w:tcPr>
            <w:tcW w:w="2136" w:type="dxa"/>
            <w:vAlign w:val="center"/>
          </w:tcPr>
          <w:p>
            <w:pPr>
              <w:rPr>
                <w:lang w:eastAsia="ja-JP"/>
              </w:rPr>
            </w:pPr>
          </w:p>
        </w:tc>
        <w:tc>
          <w:tcPr>
            <w:tcW w:w="668" w:type="dxa"/>
            <w:shd w:val="clear" w:color="auto" w:fill="FFFFFF"/>
          </w:tcPr>
          <w:p>
            <w:r>
              <w:rPr>
                <w:rFonts w:hint="eastAsia" w:ascii="MS Gothic" w:hAnsi="MS Gothic" w:eastAsia="MS Gothic" w:cs="MS Gothic"/>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480" w:type="dxa"/>
            <w:vAlign w:val="center"/>
          </w:tcPr>
          <w:p>
            <w:pPr>
              <w:rPr>
                <w:lang w:eastAsia="ja-JP"/>
              </w:rPr>
            </w:pPr>
          </w:p>
        </w:tc>
        <w:tc>
          <w:tcPr>
            <w:tcW w:w="1842" w:type="dxa"/>
            <w:vAlign w:val="center"/>
          </w:tcPr>
          <w:p>
            <w:pPr>
              <w:rPr>
                <w:lang w:eastAsia="ja-JP"/>
              </w:rPr>
            </w:pPr>
          </w:p>
        </w:tc>
        <w:tc>
          <w:tcPr>
            <w:tcW w:w="851" w:type="dxa"/>
            <w:vAlign w:val="center"/>
          </w:tcPr>
          <w:p>
            <w:pPr>
              <w:rPr>
                <w:lang w:eastAsia="ja-JP"/>
              </w:rPr>
            </w:pPr>
          </w:p>
        </w:tc>
        <w:tc>
          <w:tcPr>
            <w:tcW w:w="2268" w:type="dxa"/>
            <w:vAlign w:val="center"/>
          </w:tcPr>
          <w:p>
            <w:pPr>
              <w:rPr>
                <w:lang w:eastAsia="ja-JP"/>
              </w:rPr>
            </w:pPr>
          </w:p>
        </w:tc>
        <w:tc>
          <w:tcPr>
            <w:tcW w:w="2136" w:type="dxa"/>
            <w:vAlign w:val="center"/>
          </w:tcPr>
          <w:p>
            <w:pPr>
              <w:rPr>
                <w:lang w:eastAsia="ja-JP"/>
              </w:rPr>
            </w:pPr>
          </w:p>
        </w:tc>
        <w:tc>
          <w:tcPr>
            <w:tcW w:w="668" w:type="dxa"/>
            <w:shd w:val="clear" w:color="auto" w:fill="FFFFFF"/>
          </w:tcPr>
          <w:p>
            <w:r>
              <w:rPr>
                <w:rFonts w:hint="eastAsia" w:ascii="MS Gothic" w:hAnsi="MS Gothic" w:eastAsia="MS Gothic" w:cs="MS Gothic"/>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480" w:type="dxa"/>
            <w:vAlign w:val="center"/>
          </w:tcPr>
          <w:p>
            <w:pPr>
              <w:rPr>
                <w:lang w:eastAsia="ja-JP"/>
              </w:rPr>
            </w:pPr>
          </w:p>
        </w:tc>
        <w:tc>
          <w:tcPr>
            <w:tcW w:w="1842" w:type="dxa"/>
            <w:vAlign w:val="center"/>
          </w:tcPr>
          <w:p>
            <w:pPr>
              <w:rPr>
                <w:lang w:eastAsia="ja-JP"/>
              </w:rPr>
            </w:pPr>
          </w:p>
        </w:tc>
        <w:tc>
          <w:tcPr>
            <w:tcW w:w="851" w:type="dxa"/>
            <w:vAlign w:val="center"/>
          </w:tcPr>
          <w:p>
            <w:pPr>
              <w:rPr>
                <w:lang w:eastAsia="ja-JP"/>
              </w:rPr>
            </w:pPr>
          </w:p>
        </w:tc>
        <w:tc>
          <w:tcPr>
            <w:tcW w:w="2268" w:type="dxa"/>
            <w:vAlign w:val="center"/>
          </w:tcPr>
          <w:p>
            <w:pPr>
              <w:rPr>
                <w:lang w:eastAsia="ja-JP"/>
              </w:rPr>
            </w:pPr>
          </w:p>
        </w:tc>
        <w:tc>
          <w:tcPr>
            <w:tcW w:w="2136" w:type="dxa"/>
            <w:vAlign w:val="center"/>
          </w:tcPr>
          <w:p>
            <w:pPr>
              <w:rPr>
                <w:lang w:eastAsia="ja-JP"/>
              </w:rPr>
            </w:pPr>
          </w:p>
        </w:tc>
        <w:tc>
          <w:tcPr>
            <w:tcW w:w="668" w:type="dxa"/>
            <w:shd w:val="clear" w:color="auto" w:fill="FFFFFF"/>
          </w:tcPr>
          <w:p>
            <w:r>
              <w:rPr>
                <w:rFonts w:hint="eastAsia" w:ascii="MS Gothic" w:hAnsi="MS Gothic" w:eastAsia="MS Gothic" w:cs="MS Gothic"/>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480" w:type="dxa"/>
            <w:vAlign w:val="center"/>
          </w:tcPr>
          <w:p>
            <w:pPr>
              <w:rPr>
                <w:lang w:eastAsia="ja-JP"/>
              </w:rPr>
            </w:pPr>
          </w:p>
        </w:tc>
        <w:tc>
          <w:tcPr>
            <w:tcW w:w="1842" w:type="dxa"/>
            <w:vAlign w:val="center"/>
          </w:tcPr>
          <w:p>
            <w:pPr>
              <w:rPr>
                <w:lang w:eastAsia="ja-JP"/>
              </w:rPr>
            </w:pPr>
          </w:p>
        </w:tc>
        <w:tc>
          <w:tcPr>
            <w:tcW w:w="851" w:type="dxa"/>
            <w:vAlign w:val="center"/>
          </w:tcPr>
          <w:p>
            <w:pPr>
              <w:rPr>
                <w:lang w:eastAsia="ja-JP"/>
              </w:rPr>
            </w:pPr>
          </w:p>
        </w:tc>
        <w:tc>
          <w:tcPr>
            <w:tcW w:w="2268" w:type="dxa"/>
            <w:vAlign w:val="center"/>
          </w:tcPr>
          <w:p>
            <w:pPr>
              <w:rPr>
                <w:lang w:eastAsia="ja-JP"/>
              </w:rPr>
            </w:pPr>
          </w:p>
        </w:tc>
        <w:tc>
          <w:tcPr>
            <w:tcW w:w="2136" w:type="dxa"/>
            <w:vAlign w:val="center"/>
          </w:tcPr>
          <w:p>
            <w:pPr>
              <w:rPr>
                <w:lang w:eastAsia="ja-JP"/>
              </w:rPr>
            </w:pPr>
          </w:p>
        </w:tc>
        <w:tc>
          <w:tcPr>
            <w:tcW w:w="668" w:type="dxa"/>
            <w:shd w:val="clear" w:color="auto" w:fill="FFFFFF"/>
          </w:tcPr>
          <w:p>
            <w:r>
              <w:rPr>
                <w:rFonts w:hint="eastAsia" w:ascii="MS Gothic" w:hAnsi="MS Gothic" w:eastAsia="MS Gothic" w:cs="MS Gothic"/>
              </w:rPr>
              <w:t>☐</w:t>
            </w:r>
          </w:p>
        </w:tc>
      </w:tr>
    </w:tbl>
    <w:p/>
    <w:p>
      <w:r>
        <w:rPr>
          <w:rFonts w:hint="eastAsia"/>
        </w:rPr>
        <w:t>三、任何影响审核方案的重要事项：无</w:t>
      </w:r>
    </w:p>
    <w:tbl>
      <w:tblPr>
        <w:tblStyle w:val="9"/>
        <w:tblW w:w="0" w:type="auto"/>
        <w:tblInd w:w="0" w:type="dxa"/>
        <w:tblLayout w:type="autofit"/>
        <w:tblCellMar>
          <w:top w:w="0" w:type="dxa"/>
          <w:left w:w="108" w:type="dxa"/>
          <w:bottom w:w="0" w:type="dxa"/>
          <w:right w:w="108" w:type="dxa"/>
        </w:tblCellMar>
      </w:tblPr>
      <w:tblGrid>
        <w:gridCol w:w="1825"/>
        <w:gridCol w:w="8016"/>
      </w:tblGrid>
      <w:tr>
        <w:tblPrEx>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Layout w:type="autofit"/>
        <w:tblCellMar>
          <w:top w:w="0" w:type="dxa"/>
          <w:left w:w="108" w:type="dxa"/>
          <w:bottom w:w="0" w:type="dxa"/>
          <w:right w:w="108" w:type="dxa"/>
        </w:tblCellMar>
      </w:tblPr>
      <w:tblGrid>
        <w:gridCol w:w="4201"/>
        <w:gridCol w:w="5761"/>
      </w:tblGrid>
      <w:tr>
        <w:tblPrEx>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汪桂丽</w:t>
            </w:r>
          </w:p>
        </w:tc>
        <w:tc>
          <w:tcPr>
            <w:tcW w:w="1089" w:type="dxa"/>
            <w:vAlign w:val="center"/>
          </w:tcPr>
          <w:p>
            <w:pPr>
              <w:rPr>
                <w:rFonts w:hint="eastAsia" w:ascii="Times New Roman" w:hAnsi="Times New Roman" w:eastAsia="宋体" w:cs="Times New Roman"/>
                <w:kern w:val="2"/>
                <w:sz w:val="21"/>
                <w:szCs w:val="24"/>
                <w:lang w:val="en-US" w:eastAsia="zh-CN" w:bidi="ar-SA"/>
              </w:rPr>
            </w:pPr>
            <w:r>
              <w:t>组</w:t>
            </w:r>
            <w:r>
              <w:rPr>
                <w:rFonts w:hint="eastAsia"/>
                <w:lang w:val="en-US" w:eastAsia="zh-CN"/>
              </w:rPr>
              <w:t>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pPr>
              <w:rPr>
                <w:rFonts w:ascii="Times New Roman" w:hAnsi="Times New Roman" w:eastAsia="宋体" w:cs="Times New Roman"/>
                <w:kern w:val="2"/>
                <w:sz w:val="21"/>
                <w:szCs w:val="24"/>
                <w:lang w:val="en-US" w:eastAsia="zh-CN" w:bidi="ar-SA"/>
              </w:rPr>
            </w:pPr>
            <w:r>
              <w:t>2021-N1QMS-6043149</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周迎宾</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ISC-JSZJ-487</w:t>
            </w:r>
          </w:p>
          <w:p>
            <w:pPr>
              <w:rPr>
                <w:rFonts w:ascii="Times New Roman" w:hAnsi="Times New Roman" w:eastAsia="宋体" w:cs="Times New Roman"/>
                <w:kern w:val="2"/>
                <w:sz w:val="21"/>
                <w:szCs w:val="24"/>
                <w:lang w:val="en-US" w:eastAsia="zh-CN" w:bidi="ar-SA"/>
              </w:rPr>
            </w:pPr>
            <w:r>
              <w:t>烟台立衡环保科技有限公司</w:t>
            </w:r>
          </w:p>
        </w:tc>
        <w:tc>
          <w:tcPr>
            <w:tcW w:w="2179" w:type="dxa"/>
            <w:vAlign w:val="center"/>
          </w:tcPr>
          <w:p>
            <w:pPr>
              <w:rPr>
                <w:rFonts w:ascii="Times New Roman" w:hAnsi="Times New Roman" w:eastAsia="宋体" w:cs="Times New Roman"/>
                <w:kern w:val="2"/>
                <w:sz w:val="21"/>
                <w:szCs w:val="24"/>
                <w:lang w:val="en-US" w:eastAsia="zh-CN" w:bidi="ar-SA"/>
              </w:rPr>
            </w:pPr>
            <w:r>
              <w:t>04.03.00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2022年10月1日重新任命管理者代表毛志勇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default" w:eastAsia="宋体"/>
                <w:lang w:val="en-US" w:eastAsia="zh-CN"/>
              </w:rPr>
            </w:pPr>
            <w:r>
              <w:rPr>
                <w:rFonts w:hint="eastAsia"/>
                <w:lang w:val="en-US" w:eastAsia="zh-CN"/>
              </w:rPr>
              <w:t>品管科合并到生产技术科，财务科同时负责着物流和仓储</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Layout w:type="autofit"/>
        <w:tblCellMar>
          <w:top w:w="0" w:type="dxa"/>
          <w:left w:w="108" w:type="dxa"/>
          <w:bottom w:w="0" w:type="dxa"/>
          <w:right w:w="108" w:type="dxa"/>
        </w:tblCellMar>
      </w:tblPr>
      <w:tblGrid>
        <w:gridCol w:w="1214"/>
        <w:gridCol w:w="1519"/>
        <w:gridCol w:w="7099"/>
        <w:gridCol w:w="130"/>
      </w:tblGrid>
      <w:tr>
        <w:tblPrEx>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gridSpan w:val="3"/>
            <w:shd w:val="clear" w:color="auto" w:fill="D7D7D7" w:themeFill="background1" w:themeFillShade="D8"/>
          </w:tcPr>
          <w:p>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gridAfter w:val="1"/>
          <w:wAfter w:w="130" w:type="dxa"/>
          <w:trHeight w:val="315" w:hRule="atLeast"/>
          <w:jc w:val="center"/>
        </w:trPr>
        <w:tc>
          <w:tcPr>
            <w:tcW w:w="2733" w:type="dxa"/>
            <w:gridSpan w:val="2"/>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gridAfter w:val="1"/>
          <w:wAfter w:w="130" w:type="dxa"/>
          <w:trHeight w:val="315" w:hRule="atLeast"/>
          <w:jc w:val="center"/>
        </w:trPr>
        <w:tc>
          <w:tcPr>
            <w:tcW w:w="2733"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gridAfter w:val="1"/>
          <w:wAfter w:w="130" w:type="dxa"/>
          <w:trHeight w:val="315" w:hRule="atLeast"/>
          <w:jc w:val="center"/>
        </w:trPr>
        <w:tc>
          <w:tcPr>
            <w:tcW w:w="2733"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不适用</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gridAfter w:val="1"/>
          <w:wAfter w:w="130" w:type="dxa"/>
          <w:trHeight w:val="315" w:hRule="atLeast"/>
          <w:jc w:val="center"/>
        </w:trPr>
        <w:tc>
          <w:tcPr>
            <w:tcW w:w="2733"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已有效整改合格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gridAfter w:val="1"/>
          <w:wAfter w:w="130" w:type="dxa"/>
          <w:trHeight w:val="315" w:hRule="atLeast"/>
          <w:jc w:val="center"/>
        </w:trPr>
        <w:tc>
          <w:tcPr>
            <w:tcW w:w="2733" w:type="dxa"/>
            <w:gridSpan w:val="2"/>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gridAfter w:val="1"/>
          <w:wAfter w:w="130" w:type="dxa"/>
          <w:trHeight w:val="315" w:hRule="atLeast"/>
          <w:jc w:val="center"/>
        </w:trPr>
        <w:tc>
          <w:tcPr>
            <w:tcW w:w="2733" w:type="dxa"/>
            <w:gridSpan w:val="2"/>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GB"/>
              </w:rPr>
              <w:t xml:space="preserve"> </w:t>
            </w:r>
            <w:r>
              <w:rPr>
                <w:rFonts w:hint="eastAsia"/>
                <w:lang w:val="en-US" w:eastAsia="zh-CN"/>
              </w:rPr>
              <w:t>证书用于公司宣传，标志无使用</w:t>
            </w:r>
          </w:p>
        </w:tc>
      </w:tr>
    </w:tbl>
    <w:p/>
    <w:p>
      <w:r>
        <w:rPr>
          <w:rFonts w:hint="eastAsia"/>
        </w:rPr>
        <w:t>八、已识别出的任何未解决的问题：无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w:t>
            </w:r>
            <w:r>
              <w:t xml:space="preserve"> </w:t>
            </w:r>
            <w:r>
              <w:rPr>
                <w:rFonts w:hint="eastAsia"/>
              </w:rPr>
              <w:t>□仍有问题：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w:t>
            </w:r>
            <w:r>
              <w:t xml:space="preserve"> </w:t>
            </w:r>
            <w:r>
              <w:rPr>
                <w:rFonts w:hint="eastAsia"/>
              </w:rPr>
              <w:t>□仍有问题：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w:t>
            </w:r>
            <w:r>
              <w:t xml:space="preserve"> </w:t>
            </w:r>
            <w:r>
              <w:rPr>
                <w:rFonts w:hint="eastAsia"/>
              </w:rPr>
              <w:t>□仍有问题：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w:t>
            </w:r>
            <w:r>
              <w:t xml:space="preserve"> </w:t>
            </w:r>
            <w:r>
              <w:rPr>
                <w:rFonts w:hint="eastAsia"/>
              </w:rPr>
              <w:t>□仍有问题：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1"/>
        <w:gridCol w:w="2764"/>
        <w:gridCol w:w="2764"/>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7" w:hRule="exact"/>
          <w:jc w:val="center"/>
        </w:trPr>
        <w:tc>
          <w:tcPr>
            <w:tcW w:w="1691" w:type="dxa"/>
            <w:vAlign w:val="center"/>
          </w:tcPr>
          <w:p>
            <w:pPr>
              <w:rPr>
                <w:rFonts w:ascii="宋体"/>
                <w:b/>
                <w:color w:val="0000FF"/>
                <w:szCs w:val="21"/>
              </w:rPr>
            </w:pPr>
            <w:r>
              <w:rPr>
                <w:rFonts w:hint="eastAsia" w:ascii="宋体"/>
                <w:b/>
                <w:color w:val="0000FF"/>
                <w:szCs w:val="21"/>
              </w:rPr>
              <w:t>突发事件的处置措施</w:t>
            </w:r>
          </w:p>
        </w:tc>
        <w:tc>
          <w:tcPr>
            <w:tcW w:w="8428"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91" w:type="dxa"/>
            <w:vMerge w:val="restart"/>
            <w:vAlign w:val="center"/>
          </w:tcPr>
          <w:p>
            <w:pPr>
              <w:rPr>
                <w:rFonts w:ascii="宋体"/>
                <w:b/>
                <w:color w:val="0000FF"/>
                <w:szCs w:val="21"/>
              </w:rPr>
            </w:pPr>
            <w:r>
              <w:rPr>
                <w:rFonts w:hint="eastAsia"/>
                <w:b/>
                <w:bCs/>
                <w:color w:val="0000FF"/>
              </w:rPr>
              <w:t>远程审核的有效性评价（适用时）</w:t>
            </w:r>
          </w:p>
        </w:tc>
        <w:tc>
          <w:tcPr>
            <w:tcW w:w="8428" w:type="dxa"/>
            <w:gridSpan w:val="3"/>
            <w:tcMar>
              <w:left w:w="113" w:type="dxa"/>
            </w:tcMar>
          </w:tcPr>
          <w:p>
            <w:pPr>
              <w:spacing w:line="280" w:lineRule="exact"/>
              <w:rPr>
                <w:color w:val="0000FF"/>
              </w:rPr>
            </w:pPr>
            <w:r>
              <w:rPr>
                <w:rFonts w:hint="eastAsia" w:ascii="宋体"/>
                <w:b/>
                <w:color w:val="0000FF"/>
                <w:szCs w:val="21"/>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91" w:type="dxa"/>
            <w:vMerge w:val="continue"/>
            <w:vAlign w:val="center"/>
          </w:tcPr>
          <w:p>
            <w:pPr>
              <w:rPr>
                <w:rFonts w:ascii="宋体"/>
                <w:b/>
                <w:color w:val="0000FF"/>
                <w:szCs w:val="21"/>
              </w:rPr>
            </w:pPr>
          </w:p>
        </w:tc>
        <w:tc>
          <w:tcPr>
            <w:tcW w:w="8428"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0" w:hRule="exact"/>
          <w:jc w:val="center"/>
        </w:trPr>
        <w:tc>
          <w:tcPr>
            <w:tcW w:w="1691" w:type="dxa"/>
          </w:tcPr>
          <w:p>
            <w:bookmarkStart w:id="30" w:name="_GoBack"/>
            <w:r>
              <w:drawing>
                <wp:anchor distT="0" distB="0" distL="114300" distR="114300" simplePos="0" relativeHeight="251662336" behindDoc="0" locked="0" layoutInCell="1" allowOverlap="1">
                  <wp:simplePos x="0" y="0"/>
                  <wp:positionH relativeFrom="column">
                    <wp:posOffset>-69850</wp:posOffset>
                  </wp:positionH>
                  <wp:positionV relativeFrom="paragraph">
                    <wp:posOffset>-607060</wp:posOffset>
                  </wp:positionV>
                  <wp:extent cx="6673850" cy="6957060"/>
                  <wp:effectExtent l="0" t="0" r="1270"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6673850" cy="6957060"/>
                          </a:xfrm>
                          <a:prstGeom prst="rect">
                            <a:avLst/>
                          </a:prstGeom>
                          <a:noFill/>
                          <a:ln>
                            <a:noFill/>
                          </a:ln>
                        </pic:spPr>
                      </pic:pic>
                    </a:graphicData>
                  </a:graphic>
                </wp:anchor>
              </w:drawing>
            </w:r>
            <w:bookmarkEnd w:id="30"/>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900" w:type="dxa"/>
            <w:tcMar>
              <w:left w:w="113" w:type="dxa"/>
            </w:tcMar>
            <w:vAlign w:val="center"/>
          </w:tcPr>
          <w:p>
            <w:pPr>
              <w:rPr>
                <w:rFonts w:hint="eastAsia" w:eastAsia="宋体"/>
                <w:lang w:val="en-US" w:eastAsia="zh-CN"/>
              </w:rPr>
            </w:pPr>
            <w:r>
              <w:rPr>
                <w:rFonts w:hint="eastAsia"/>
              </w:rPr>
              <w:t>202</w:t>
            </w:r>
            <w:r>
              <w:rPr>
                <w:rFonts w:hint="eastAsia"/>
                <w:lang w:val="en-US" w:eastAsia="zh-CN"/>
              </w:rPr>
              <w:t>3</w:t>
            </w:r>
            <w:r>
              <w:rPr>
                <w:rFonts w:hint="eastAsia"/>
              </w:rPr>
              <w:t>.</w:t>
            </w:r>
            <w:r>
              <w:rPr>
                <w:rFonts w:hint="eastAsia"/>
                <w:lang w:val="en-US" w:eastAsia="zh-CN"/>
              </w:rPr>
              <w:t>3</w:t>
            </w:r>
            <w:r>
              <w:rPr>
                <w:rFonts w:hint="eastAsia"/>
              </w:rPr>
              <w:t>.1</w:t>
            </w:r>
            <w:r>
              <w:rPr>
                <w:rFonts w:hint="eastAsia"/>
                <w:lang w:val="en-US" w:eastAsia="zh-CN"/>
              </w:rPr>
              <w:t>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 □绩效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组织应明确相关管理体系的范围；（详见第二条款审核范围）</w:t>
            </w:r>
          </w:p>
          <w:p>
            <w:pPr>
              <w:shd w:val="clear" w:color="auto" w:fill="C7DAF1" w:themeFill="text2" w:themeFillTint="32"/>
            </w:pPr>
            <w:r>
              <w:rPr>
                <w:rFonts w:hint="eastAsia"/>
              </w:rPr>
              <w:t>对QMS的适用性（详见第二条款不适用条款和理由说明）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□新产品设计开发■原材料采购■外部供方控制■生产/服务控制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□人员培训其他 □无</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ind w:firstLine="420" w:firstLineChars="200"/>
              <w:jc w:val="left"/>
              <w:rPr>
                <w:u w:val="single"/>
              </w:rPr>
            </w:pPr>
            <w:r>
              <w:rPr>
                <w:rFonts w:hint="eastAsia"/>
              </w:rPr>
              <w:t>最高管理者制定了文件化的管理体系方针：</w:t>
            </w:r>
            <w:r>
              <w:rPr>
                <w:rFonts w:hint="eastAsia"/>
                <w:u w:val="single"/>
              </w:rPr>
              <w:t xml:space="preserve">   科技领先 优质高效  客户至上  持续改进</w:t>
            </w:r>
            <w:r>
              <w:rPr>
                <w:rFonts w:hint="eastAsia" w:cs="宋体" w:asciiTheme="minorEastAsia" w:hAnsiTheme="minorEastAsia" w:eastAsiaTheme="minorEastAsia"/>
                <w:szCs w:val="21"/>
                <w:u w:val="single"/>
              </w:rPr>
              <w:t>。</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人事行政</w:t>
            </w:r>
            <w:r>
              <w:rPr>
                <w:rFonts w:hint="eastAsia"/>
              </w:rPr>
              <w:t>科</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w:t>
            </w:r>
            <w:r>
              <w:rPr>
                <w:rFonts w:hint="eastAsia"/>
                <w:color w:val="000000" w:themeColor="text1"/>
                <w14:textFill>
                  <w14:solidFill>
                    <w14:schemeClr w14:val="tx1"/>
                  </w14:solidFill>
                </w14:textFill>
              </w:rPr>
              <w:t>体系时，组</w:t>
            </w:r>
            <w:r>
              <w:rPr>
                <w:rFonts w:hint="eastAsia"/>
              </w:rPr>
              <w:t>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2"/>
                    </w:numPr>
                    <w:shd w:val="clear" w:color="auto" w:fill="C7DAF1" w:themeFill="text2" w:themeFillTint="32"/>
                    <w:rPr>
                      <w:rFonts w:hint="eastAsia"/>
                    </w:rPr>
                  </w:pPr>
                  <w:r>
                    <w:rPr>
                      <w:rFonts w:hint="eastAsia"/>
                    </w:rPr>
                    <w:t>对市场需要产品的发展趋势判断失误。</w:t>
                  </w:r>
                </w:p>
                <w:p>
                  <w:pPr>
                    <w:numPr>
                      <w:ilvl w:val="0"/>
                      <w:numId w:val="0"/>
                    </w:numPr>
                    <w:shd w:val="clear" w:color="auto" w:fill="C7DAF1" w:themeFill="text2" w:themeFillTint="32"/>
                  </w:pPr>
                  <w:r>
                    <w:rPr>
                      <w:rFonts w:hint="eastAsia"/>
                    </w:rPr>
                    <w:t>2.客户要求识别不完整。</w:t>
                  </w:r>
                </w:p>
                <w:p>
                  <w:pPr>
                    <w:shd w:val="clear" w:color="auto" w:fill="C7DAF1" w:themeFill="text2" w:themeFillTint="32"/>
                  </w:pPr>
                  <w:r>
                    <w:rPr>
                      <w:rFonts w:hint="eastAsia"/>
                    </w:rPr>
                    <w:t>3.未能确保能够满足客户要求就签署合同</w:t>
                  </w:r>
                </w:p>
              </w:tc>
              <w:tc>
                <w:tcPr>
                  <w:tcW w:w="3965" w:type="dxa"/>
                </w:tcPr>
                <w:p>
                  <w:pPr>
                    <w:shd w:val="clear" w:color="auto" w:fill="C7DAF1" w:themeFill="text2" w:themeFillTint="32"/>
                  </w:pPr>
                  <w:r>
                    <w:rPr>
                      <w:rFonts w:hint="eastAsia"/>
                    </w:rPr>
                    <w:t>1.对市场需求产品的发展趋势分析应该经过反复论证。</w:t>
                  </w:r>
                </w:p>
                <w:p>
                  <w:pPr>
                    <w:shd w:val="clear" w:color="auto" w:fill="C7DAF1" w:themeFill="text2" w:themeFillTint="32"/>
                  </w:pPr>
                  <w:r>
                    <w:rPr>
                      <w:rFonts w:hint="eastAsia"/>
                    </w:rPr>
                    <w:t>2.对客户的要求实施监视和测量。</w:t>
                  </w:r>
                </w:p>
                <w:p>
                  <w:pPr>
                    <w:shd w:val="clear" w:color="auto" w:fill="C7DAF1" w:themeFill="text2" w:themeFillTint="32"/>
                  </w:pPr>
                  <w:r>
                    <w:rPr>
                      <w:rFonts w:hint="eastAsia"/>
                    </w:rPr>
                    <w:t>3.在确定与客户签署合同前落实合同评审事宜。</w:t>
                  </w:r>
                </w:p>
              </w:tc>
              <w:tc>
                <w:tcPr>
                  <w:tcW w:w="1717" w:type="dxa"/>
                </w:tcPr>
                <w:p>
                  <w:pPr>
                    <w:shd w:val="clear" w:color="auto" w:fill="C7DAF1" w:themeFill="text2"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1.不能按时交付。</w:t>
                  </w:r>
                </w:p>
                <w:p>
                  <w:pPr>
                    <w:shd w:val="clear" w:color="auto" w:fill="C7DAF1" w:themeFill="text2" w:themeFillTint="32"/>
                  </w:pPr>
                  <w:r>
                    <w:rPr>
                      <w:rFonts w:hint="eastAsia"/>
                    </w:rPr>
                    <w:t>2.交付的产品不符合客户的要求。</w:t>
                  </w:r>
                </w:p>
              </w:tc>
              <w:tc>
                <w:tcPr>
                  <w:tcW w:w="3965" w:type="dxa"/>
                </w:tcPr>
                <w:p>
                  <w:pPr>
                    <w:shd w:val="clear" w:color="auto" w:fill="C7DAF1" w:themeFill="text2" w:themeFillTint="32"/>
                  </w:pPr>
                  <w:r>
                    <w:rPr>
                      <w:rFonts w:hint="eastAsia"/>
                    </w:rPr>
                    <w:t>1.生产计划管制。</w:t>
                  </w:r>
                </w:p>
                <w:p>
                  <w:pPr>
                    <w:shd w:val="clear" w:color="auto" w:fill="C7DAF1" w:themeFill="text2" w:themeFillTint="32"/>
                  </w:pPr>
                  <w:r>
                    <w:rPr>
                      <w:rFonts w:hint="eastAsia"/>
                    </w:rPr>
                    <w:t>2.生产过程的品质控制。</w:t>
                  </w:r>
                </w:p>
                <w:p>
                  <w:pPr>
                    <w:shd w:val="clear" w:color="auto" w:fill="C7DAF1" w:themeFill="text2" w:themeFillTint="32"/>
                  </w:pPr>
                  <w:r>
                    <w:rPr>
                      <w:rFonts w:hint="eastAsia"/>
                    </w:rPr>
                    <w:t>3.成品的品质检验。</w:t>
                  </w:r>
                </w:p>
              </w:tc>
              <w:tc>
                <w:tcPr>
                  <w:tcW w:w="1717" w:type="dxa"/>
                </w:tcPr>
                <w:p>
                  <w:pPr>
                    <w:shd w:val="clear" w:color="auto" w:fill="C7DAF1" w:themeFill="text2"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220" w:lineRule="exact"/>
                    <w:rPr>
                      <w:rFonts w:asciiTheme="minorEastAsia" w:hAnsiTheme="minorEastAsia"/>
                      <w:szCs w:val="21"/>
                    </w:rPr>
                  </w:pPr>
                  <w:r>
                    <w:rPr>
                      <w:rFonts w:hint="eastAsia" w:asciiTheme="minorEastAsia" w:hAnsiTheme="minorEastAsia" w:eastAsiaTheme="minorEastAsia"/>
                      <w:szCs w:val="21"/>
                    </w:rPr>
                    <w:t>公司交付产品合格率为 100%；</w:t>
                  </w:r>
                </w:p>
              </w:tc>
              <w:tc>
                <w:tcPr>
                  <w:tcW w:w="3136" w:type="dxa"/>
                  <w:shd w:val="clear" w:color="auto" w:fill="auto"/>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交付合格率=交验合格批次数÷检验批次总数×100%。</w:t>
                  </w:r>
                </w:p>
              </w:tc>
              <w:tc>
                <w:tcPr>
                  <w:tcW w:w="1350" w:type="dxa"/>
                  <w:shd w:val="clear" w:color="auto" w:fill="auto"/>
                  <w:vAlign w:val="center"/>
                </w:tcPr>
                <w:p>
                  <w:pPr>
                    <w:shd w:val="clear" w:color="auto" w:fill="C7DAF1" w:themeFill="text2" w:themeFillTint="3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生产技术科</w:t>
                  </w:r>
                </w:p>
              </w:tc>
              <w:tc>
                <w:tcPr>
                  <w:tcW w:w="1774" w:type="dxa"/>
                  <w:shd w:val="clear" w:color="auto" w:fill="auto"/>
                </w:tcPr>
                <w:p>
                  <w:pPr>
                    <w:widowControl/>
                    <w:spacing w:before="40"/>
                    <w:jc w:val="left"/>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220" w:lineRule="exact"/>
                    <w:rPr>
                      <w:rFonts w:asciiTheme="minorEastAsia" w:hAnsiTheme="minorEastAsia"/>
                      <w:szCs w:val="21"/>
                    </w:rPr>
                  </w:pPr>
                  <w:r>
                    <w:rPr>
                      <w:rFonts w:hint="eastAsia" w:asciiTheme="minorEastAsia" w:hAnsiTheme="minorEastAsia" w:eastAsiaTheme="minorEastAsia"/>
                      <w:szCs w:val="21"/>
                    </w:rPr>
                    <w:t>顾客重大投诉率为 0</w:t>
                  </w:r>
                </w:p>
              </w:tc>
              <w:tc>
                <w:tcPr>
                  <w:tcW w:w="3136" w:type="dxa"/>
                  <w:shd w:val="clear" w:color="auto" w:fill="auto"/>
                </w:tcPr>
                <w:p>
                  <w:pPr>
                    <w:widowControl/>
                    <w:spacing w:before="40"/>
                    <w:jc w:val="left"/>
                    <w:rPr>
                      <w:rFonts w:asciiTheme="minorEastAsia" w:hAnsiTheme="minorEastAsia" w:eastAsiaTheme="minorEastAsia"/>
                      <w:color w:val="000000"/>
                      <w:szCs w:val="18"/>
                    </w:rPr>
                  </w:pPr>
                  <w:r>
                    <w:rPr>
                      <w:rFonts w:asciiTheme="minorEastAsia" w:hAnsiTheme="minorEastAsia" w:eastAsiaTheme="minorEastAsia"/>
                      <w:color w:val="000000"/>
                      <w:szCs w:val="18"/>
                    </w:rPr>
                    <w:t>按实际统计</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rPr>
                    <w:t>业务</w:t>
                  </w:r>
                  <w:r>
                    <w:rPr>
                      <w:rFonts w:hint="eastAsia" w:ascii="宋体" w:hAnsi="宋体"/>
                      <w:lang w:val="en-US" w:eastAsia="zh-CN"/>
                    </w:rPr>
                    <w:t>部</w:t>
                  </w:r>
                </w:p>
              </w:tc>
              <w:tc>
                <w:tcPr>
                  <w:tcW w:w="1774" w:type="dxa"/>
                  <w:shd w:val="clear" w:color="auto" w:fill="auto"/>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220" w:lineRule="exact"/>
                    <w:rPr>
                      <w:rFonts w:asciiTheme="minorEastAsia" w:hAnsiTheme="minorEastAsia"/>
                      <w:szCs w:val="21"/>
                    </w:rPr>
                  </w:pPr>
                  <w:r>
                    <w:rPr>
                      <w:rFonts w:hint="eastAsia" w:asciiTheme="minorEastAsia" w:hAnsiTheme="minorEastAsia" w:eastAsiaTheme="minorEastAsia"/>
                      <w:szCs w:val="21"/>
                    </w:rPr>
                    <w:t>持续改进，顾客满意率 95%</w:t>
                  </w:r>
                </w:p>
              </w:tc>
              <w:tc>
                <w:tcPr>
                  <w:tcW w:w="3136" w:type="dxa"/>
                  <w:shd w:val="clear" w:color="auto" w:fill="auto"/>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顾客满意率=顾客满意总分数 ÷（顾客总数×100）×100%。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rPr>
                    <w:t>业务</w:t>
                  </w:r>
                  <w:r>
                    <w:rPr>
                      <w:rFonts w:hint="eastAsia" w:ascii="宋体" w:hAnsi="宋体"/>
                      <w:lang w:val="en-US" w:eastAsia="zh-CN"/>
                    </w:rPr>
                    <w:t>部</w:t>
                  </w:r>
                </w:p>
              </w:tc>
              <w:tc>
                <w:tcPr>
                  <w:tcW w:w="1774" w:type="dxa"/>
                  <w:shd w:val="clear" w:color="auto" w:fill="auto"/>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9</w:t>
                  </w:r>
                  <w:r>
                    <w:rPr>
                      <w:rFonts w:hint="eastAsia" w:asciiTheme="minorEastAsia" w:hAnsiTheme="minorEastAsia" w:eastAsiaTheme="minorEastAsia"/>
                      <w:color w:val="000000"/>
                      <w:szCs w:val="18"/>
                      <w:lang w:val="en-US" w:eastAsia="zh-CN"/>
                    </w:rPr>
                    <w:t>6</w:t>
                  </w:r>
                  <w:r>
                    <w:rPr>
                      <w:rFonts w:hint="eastAsia" w:asciiTheme="minorEastAsia" w:hAnsiTheme="minorEastAsia" w:eastAsiaTheme="minorEastAsia"/>
                      <w:color w:val="000000"/>
                      <w:szCs w:val="18"/>
                    </w:rPr>
                    <w:t>.</w:t>
                  </w:r>
                  <w:r>
                    <w:rPr>
                      <w:rFonts w:hint="eastAsia" w:asciiTheme="minorEastAsia" w:hAnsiTheme="minorEastAsia" w:eastAsiaTheme="minorEastAsia"/>
                      <w:color w:val="000000"/>
                      <w:szCs w:val="18"/>
                      <w:lang w:val="en-US" w:eastAsia="zh-CN"/>
                    </w:rPr>
                    <w:t>6</w:t>
                  </w:r>
                  <w:r>
                    <w:rPr>
                      <w:rFonts w:hint="eastAsia" w:asciiTheme="minorEastAsia" w:hAnsiTheme="minorEastAsia" w:eastAsiaTheme="minorEastAsia"/>
                      <w:color w:val="000000"/>
                      <w:szCs w:val="18"/>
                    </w:rPr>
                    <w:t>%</w:t>
                  </w:r>
                </w:p>
              </w:tc>
            </w:tr>
          </w:tbl>
          <w:p>
            <w:pPr>
              <w:shd w:val="clear" w:color="auto" w:fill="C7DAF1" w:themeFill="text2" w:themeFillTint="32"/>
            </w:pPr>
          </w:p>
          <w:p>
            <w:pPr>
              <w:shd w:val="clear" w:color="auto" w:fill="C7DAF1" w:themeFill="text2" w:themeFillTint="32"/>
            </w:pPr>
            <w:r>
              <w:rPr>
                <w:rFonts w:hint="eastAsia"/>
              </w:rPr>
              <w:t>■目标已实现</w:t>
            </w:r>
          </w:p>
          <w:p>
            <w:pPr>
              <w:shd w:val="clear" w:color="auto" w:fill="C7DAF1" w:themeFill="text2" w:themeFillTint="32"/>
            </w:pPr>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rPr>
                <w:rFonts w:hint="default" w:eastAsia="宋体"/>
                <w:lang w:val="en-US" w:eastAsia="zh-CN"/>
              </w:rPr>
            </w:pPr>
            <w:r>
              <w:rPr>
                <w:rFonts w:hint="eastAsia"/>
              </w:rPr>
              <w:t>□主要设备设施 □主要检测设备 ■其他</w:t>
            </w:r>
            <w:r>
              <w:rPr>
                <w:rFonts w:hint="eastAsia"/>
                <w:lang w:val="en-US" w:eastAsia="zh-CN"/>
              </w:rPr>
              <w:t xml:space="preserve">  管理者代表重新任命</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20000   </w:t>
            </w:r>
            <w:r>
              <w:rPr>
                <w:rFonts w:hint="eastAsia"/>
              </w:rPr>
              <w:t>平方米；生产车间</w:t>
            </w:r>
            <w:r>
              <w:rPr>
                <w:rFonts w:hint="eastAsia"/>
                <w:u w:val="single"/>
              </w:rPr>
              <w:t xml:space="preserve">  3 </w:t>
            </w:r>
            <w:r>
              <w:rPr>
                <w:rFonts w:hint="eastAsia"/>
              </w:rPr>
              <w:t>个；库房</w:t>
            </w:r>
            <w:r>
              <w:rPr>
                <w:rFonts w:hint="eastAsia"/>
                <w:u w:val="single"/>
              </w:rPr>
              <w:t xml:space="preserve">  1  </w:t>
            </w:r>
            <w:r>
              <w:rPr>
                <w:rFonts w:hint="eastAsia"/>
              </w:rPr>
              <w:t xml:space="preserve">个；实验室 </w:t>
            </w:r>
            <w:r>
              <w:rPr>
                <w:rFonts w:hint="eastAsia"/>
                <w:u w:val="single"/>
              </w:rPr>
              <w:t xml:space="preserve">1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数码打印机、印花机、烘干机、蒸化机、定型机、裁剪机、缝纫机、锅炉、电梯、叉车</w:t>
            </w:r>
            <w:r>
              <w:rPr>
                <w:rFonts w:hint="eastAsia"/>
                <w:u w:val="single"/>
                <w:lang w:val="en-US" w:eastAsia="zh-CN"/>
              </w:rPr>
              <w:t>等</w:t>
            </w:r>
            <w:r>
              <w:rPr>
                <w:rFonts w:hint="eastAsia"/>
                <w:u w:val="single"/>
              </w:rPr>
              <w:t xml:space="preserve">         （列举2~4种）</w:t>
            </w:r>
          </w:p>
          <w:p>
            <w:pPr>
              <w:shd w:val="clear" w:color="auto" w:fill="C7DAF1" w:themeFill="text2" w:themeFillTint="32"/>
            </w:pPr>
            <w:r>
              <w:rPr>
                <w:rFonts w:hint="eastAsia"/>
              </w:rPr>
              <w:t xml:space="preserve">特种设备：■叉车 </w:t>
            </w:r>
            <w:r>
              <w:rPr>
                <w:rFonts w:ascii="Wingdings" w:hAnsi="Wingdings"/>
              </w:rPr>
              <w:t>□</w:t>
            </w:r>
            <w:r>
              <w:rPr>
                <w:rFonts w:hint="eastAsia"/>
              </w:rPr>
              <w:t xml:space="preserve">行车 ■锅炉 ■电梯  </w:t>
            </w:r>
            <w:r>
              <w:rPr>
                <w:rFonts w:ascii="Wingdings" w:hAnsi="Wingdings"/>
              </w:rPr>
              <w:t>□</w:t>
            </w:r>
            <w:r>
              <w:rPr>
                <w:rFonts w:hint="eastAsia"/>
              </w:rPr>
              <w:t xml:space="preserve">压力容器  ■压力管道  不适用  </w:t>
            </w:r>
          </w:p>
          <w:p>
            <w:pPr>
              <w:shd w:val="clear" w:color="auto" w:fill="C7DAF1" w:themeFill="text2" w:themeFillTint="32"/>
              <w:rPr>
                <w:u w:val="single"/>
              </w:rPr>
            </w:pPr>
            <w:r>
              <w:rPr>
                <w:rFonts w:hint="eastAsia"/>
              </w:rPr>
              <w:t xml:space="preserve">特种设备管理：■进行了定期检验  </w:t>
            </w:r>
            <w:r>
              <w:rPr>
                <w:rFonts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ascii="Wingdings" w:hAnsi="Wingdings"/>
              </w:rPr>
              <w:t>□</w:t>
            </w:r>
            <w:r>
              <w:rPr>
                <w:rFonts w:hint="eastAsia"/>
              </w:rPr>
              <w:t xml:space="preserve">服务流程检查表  </w:t>
            </w:r>
            <w:r>
              <w:rPr>
                <w:rFonts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ascii="Wingdings" w:hAnsi="Wingdings"/>
              </w:rPr>
              <w:t>□</w:t>
            </w:r>
            <w:r>
              <w:rPr>
                <w:rFonts w:hint="eastAsia"/>
              </w:rPr>
              <w:t xml:space="preserve">自校   ■外校 </w:t>
            </w:r>
          </w:p>
          <w:p>
            <w:pPr>
              <w:shd w:val="clear" w:color="auto" w:fill="C7DAF1" w:themeFill="text2" w:themeFillTint="32"/>
              <w:rPr>
                <w:color w:val="000000" w:themeColor="text1"/>
                <w:u w:val="single"/>
                <w14:textFill>
                  <w14:solidFill>
                    <w14:schemeClr w14:val="tx1"/>
                  </w14:solidFill>
                </w14:textFill>
              </w:rPr>
            </w:pPr>
            <w:r>
              <w:rPr>
                <w:rFonts w:hint="eastAsia"/>
              </w:rPr>
              <w:t>国家强检的计量器具有</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压力表  （列举1~4种）</w:t>
            </w:r>
          </w:p>
          <w:p>
            <w:pPr>
              <w:shd w:val="clear" w:color="auto" w:fill="C7DAF1" w:themeFill="text2" w:themeFillTint="32"/>
              <w:rPr>
                <w:u w:val="single"/>
              </w:rPr>
            </w:pPr>
            <w:r>
              <w:rPr>
                <w:rFonts w:hint="eastAsia"/>
              </w:rPr>
              <w:t>计量器具管理：</w:t>
            </w:r>
            <w:r>
              <w:rPr>
                <w:rFonts w:ascii="Wingdings" w:hAnsi="Wingdings"/>
              </w:rPr>
              <w:sym w:font="Wingdings 2" w:char="0052"/>
            </w:r>
            <w:r>
              <w:rPr>
                <w:rFonts w:hint="eastAsia"/>
              </w:rPr>
              <w:t xml:space="preserve">进行了定期校准/检定 </w:t>
            </w:r>
            <w:r>
              <w:rPr>
                <w:rFonts w:ascii="Wingdings" w:hAnsi="Wingdings"/>
              </w:rPr>
              <w:t>□</w:t>
            </w:r>
            <w:r>
              <w:rPr>
                <w:rFonts w:hint="eastAsia"/>
              </w:rPr>
              <w:t>未进行定期校准/检定</w:t>
            </w:r>
            <w:r>
              <w:rPr>
                <w:rFonts w:hint="eastAsia"/>
              </w:rPr>
              <w:t xml:space="preserve">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■加工工艺 ■生产经验  ■管理软件  ■市场预测   </w:t>
            </w:r>
            <w:r>
              <w:rPr>
                <w:rFonts w:ascii="Wingdings" w:hAnsi="Wingdings"/>
              </w:rPr>
              <w:t>□</w:t>
            </w:r>
            <w:r>
              <w:rPr>
                <w:rFonts w:hint="eastAsia"/>
              </w:rPr>
              <w:t xml:space="preserve">企业标准  </w:t>
            </w:r>
            <w:r>
              <w:rPr>
                <w:rFonts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ascii="Wingdings" w:hAnsi="Wingdings"/>
              </w:rPr>
              <w:t>□</w:t>
            </w:r>
            <w:r>
              <w:rPr>
                <w:rFonts w:hint="eastAsia"/>
              </w:rPr>
              <w:t xml:space="preserve">换岗  ■培训  ■考核   ■辅导  </w:t>
            </w:r>
            <w:r>
              <w:rPr>
                <w:rFonts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其他  无</w:t>
            </w:r>
          </w:p>
          <w:p>
            <w:pPr>
              <w:shd w:val="clear" w:color="auto" w:fill="C7DAF1" w:themeFill="text2" w:themeFillTint="32"/>
            </w:pPr>
            <w:r>
              <w:rPr>
                <w:rFonts w:hint="eastAsia"/>
              </w:rPr>
              <w:t xml:space="preserve">特种设备作业人员：■叉车工 </w:t>
            </w:r>
            <w:r>
              <w:rPr>
                <w:rFonts w:ascii="Wingdings" w:hAnsi="Wingdings"/>
              </w:rPr>
              <w:t>□</w:t>
            </w:r>
            <w:r>
              <w:rPr>
                <w:rFonts w:hint="eastAsia"/>
              </w:rPr>
              <w:t xml:space="preserve">行车工  ■锅炉工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p>
            <w:pPr>
              <w:spacing w:before="12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C7DAF1" w:themeFill="text2" w:themeFillTint="32"/>
            </w:pPr>
            <w:r>
              <w:rPr>
                <w:rFonts w:hint="eastAsia"/>
              </w:rPr>
              <w:t xml:space="preserve">外部沟通方式：■宣传材料 ■网站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t>□</w:t>
            </w:r>
            <w:r>
              <w:rPr>
                <w:rFonts w:hint="eastAsia"/>
              </w:rPr>
              <w:t xml:space="preserve">企业标准  ■顾客要求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无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ascii="Wingdings" w:hAnsi="Wingdings"/>
              </w:rPr>
              <w:t>□</w:t>
            </w:r>
            <w:r>
              <w:rPr>
                <w:rFonts w:hint="eastAsia"/>
              </w:rPr>
              <w:t xml:space="preserve">委托加工  </w:t>
            </w:r>
            <w:r>
              <w:rPr>
                <w:rFonts w:ascii="Wingdings" w:hAnsi="Wingdings"/>
              </w:rPr>
              <w:t>□</w:t>
            </w:r>
            <w:r>
              <w:rPr>
                <w:rFonts w:hint="eastAsia"/>
              </w:rPr>
              <w:t xml:space="preserve">顾客要求 ■运输  </w:t>
            </w:r>
            <w:r>
              <w:rPr>
                <w:rFonts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028"/>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028" w:type="dxa"/>
                </w:tcPr>
                <w:p>
                  <w:pPr>
                    <w:shd w:val="clear" w:color="auto" w:fill="C7DAF1" w:themeFill="text2" w:themeFillTint="32"/>
                    <w:jc w:val="left"/>
                  </w:pPr>
                  <w:r>
                    <w:rPr>
                      <w:rFonts w:hint="eastAsia"/>
                    </w:rPr>
                    <w:t>关键过程</w:t>
                  </w:r>
                </w:p>
              </w:tc>
              <w:tc>
                <w:tcPr>
                  <w:tcW w:w="3902"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t>产品</w:t>
                  </w:r>
                  <w:r>
                    <w:rPr>
                      <w:rFonts w:hint="eastAsia"/>
                    </w:rPr>
                    <w:t>生产</w:t>
                  </w:r>
                </w:p>
              </w:tc>
              <w:tc>
                <w:tcPr>
                  <w:tcW w:w="3028" w:type="dxa"/>
                </w:tcPr>
                <w:p>
                  <w:pPr>
                    <w:shd w:val="clear" w:color="auto" w:fill="C7DAF1" w:themeFill="text2" w:themeFillTint="32"/>
                    <w:jc w:val="left"/>
                  </w:pPr>
                  <w:r>
                    <w:rPr>
                      <w:rFonts w:hint="eastAsia"/>
                    </w:rPr>
                    <w:t>印花</w:t>
                  </w:r>
                  <w:r>
                    <w:t>过程</w:t>
                  </w:r>
                </w:p>
              </w:tc>
              <w:tc>
                <w:tcPr>
                  <w:tcW w:w="3902" w:type="dxa"/>
                </w:tcPr>
                <w:p>
                  <w:pPr>
                    <w:shd w:val="clear" w:color="auto" w:fill="C7DAF1" w:themeFill="text2" w:themeFillTint="32"/>
                    <w:jc w:val="left"/>
                    <w:rPr>
                      <w:rFonts w:hint="eastAsia"/>
                    </w:rPr>
                  </w:pPr>
                  <w:r>
                    <w:rPr>
                      <w:rFonts w:hint="eastAsia"/>
                    </w:rPr>
                    <w:t>按照技术规范和客户要求打印图样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t>产品</w:t>
                  </w:r>
                  <w:r>
                    <w:rPr>
                      <w:rFonts w:hint="eastAsia"/>
                    </w:rPr>
                    <w:t>生产</w:t>
                  </w:r>
                </w:p>
              </w:tc>
              <w:tc>
                <w:tcPr>
                  <w:tcW w:w="3028" w:type="dxa"/>
                </w:tcPr>
                <w:p>
                  <w:pPr>
                    <w:shd w:val="clear" w:color="auto" w:fill="C7DAF1" w:themeFill="text2" w:themeFillTint="32"/>
                    <w:jc w:val="left"/>
                  </w:pPr>
                  <w:r>
                    <w:rPr>
                      <w:rFonts w:hint="eastAsia"/>
                    </w:rPr>
                    <w:t>烘干</w:t>
                  </w:r>
                  <w:r>
                    <w:t>过程</w:t>
                  </w:r>
                </w:p>
              </w:tc>
              <w:tc>
                <w:tcPr>
                  <w:tcW w:w="3902" w:type="dxa"/>
                </w:tcPr>
                <w:p>
                  <w:pPr>
                    <w:shd w:val="clear" w:color="auto" w:fill="C7DAF1" w:themeFill="text2" w:themeFillTint="32"/>
                    <w:jc w:val="left"/>
                    <w:rPr>
                      <w:rFonts w:hint="eastAsia"/>
                    </w:rPr>
                  </w:pPr>
                  <w:r>
                    <w:rPr>
                      <w:rFonts w:hint="eastAsia"/>
                    </w:rPr>
                    <w:t>控制温度和时间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t>产品</w:t>
                  </w:r>
                  <w:r>
                    <w:rPr>
                      <w:rFonts w:hint="eastAsia"/>
                    </w:rPr>
                    <w:t>生产</w:t>
                  </w:r>
                </w:p>
              </w:tc>
              <w:tc>
                <w:tcPr>
                  <w:tcW w:w="3028" w:type="dxa"/>
                </w:tcPr>
                <w:p>
                  <w:pPr>
                    <w:shd w:val="clear" w:color="auto" w:fill="C7DAF1" w:themeFill="text2" w:themeFillTint="32"/>
                    <w:jc w:val="left"/>
                  </w:pPr>
                  <w:r>
                    <w:rPr>
                      <w:rFonts w:hint="eastAsia"/>
                    </w:rPr>
                    <w:t>蒸化</w:t>
                  </w:r>
                  <w:r>
                    <w:t>过程</w:t>
                  </w:r>
                </w:p>
              </w:tc>
              <w:tc>
                <w:tcPr>
                  <w:tcW w:w="3902" w:type="dxa"/>
                </w:tcPr>
                <w:p>
                  <w:pPr>
                    <w:shd w:val="clear" w:color="auto" w:fill="C7DAF1" w:themeFill="text2" w:themeFillTint="32"/>
                    <w:jc w:val="left"/>
                    <w:rPr>
                      <w:rFonts w:hint="eastAsia"/>
                    </w:rPr>
                  </w:pPr>
                  <w:r>
                    <w:rPr>
                      <w:rFonts w:hint="eastAsia"/>
                    </w:rPr>
                    <w:t>控制温度和时间</w:t>
                  </w:r>
                </w:p>
              </w:tc>
            </w:tr>
          </w:tbl>
          <w:p>
            <w:pPr>
              <w:shd w:val="clear" w:color="auto" w:fill="C7DAF1" w:themeFill="text2" w:themeFillTint="32"/>
              <w:jc w:val="left"/>
            </w:pPr>
            <w:r>
              <w:rPr>
                <w:rFonts w:hint="eastAsia"/>
              </w:rPr>
              <w:t>需要确认的过程：</w:t>
            </w:r>
            <w:r>
              <w:rPr>
                <w:rFonts w:hint="eastAsia"/>
                <w:u w:val="single"/>
              </w:rPr>
              <w:t xml:space="preserve">  烘干</w:t>
            </w:r>
            <w:r>
              <w:rPr>
                <w:rFonts w:hint="eastAsia"/>
                <w:color w:val="000000" w:themeColor="text1"/>
                <w:u w:val="single"/>
                <w14:textFill>
                  <w14:solidFill>
                    <w14:schemeClr w14:val="tx1"/>
                  </w14:solidFill>
                </w14:textFill>
              </w:rPr>
              <w:t xml:space="preserve">、蒸化过程   </w:t>
            </w:r>
            <w:r>
              <w:rPr>
                <w:rFonts w:hint="eastAsia"/>
                <w:u w:val="single"/>
              </w:rPr>
              <w:t xml:space="preserve">              </w:t>
            </w:r>
            <w:r>
              <w:rPr>
                <w:rFonts w:hint="eastAsia"/>
              </w:rPr>
              <w:t xml:space="preserve"> ，</w:t>
            </w:r>
          </w:p>
          <w:p>
            <w:pPr>
              <w:shd w:val="clear" w:color="auto" w:fill="C7DAF1" w:themeFill="text2" w:themeFillTint="32"/>
              <w:jc w:val="left"/>
            </w:pPr>
            <w:r>
              <w:rPr>
                <w:rFonts w:ascii="Wingdings" w:hAnsi="Wingdings"/>
              </w:rPr>
              <w:t>□</w:t>
            </w:r>
            <w:r>
              <w:rPr>
                <w:rFonts w:hint="eastAsia"/>
              </w:rPr>
              <w:t>进行了有效的确认  ■存在不足，说明</w:t>
            </w:r>
            <w:r>
              <w:rPr>
                <w:rFonts w:hint="eastAsia"/>
                <w:u w:val="single"/>
              </w:rPr>
              <w:t xml:space="preserve">  </w:t>
            </w:r>
            <w:r>
              <w:rPr>
                <w:rFonts w:hint="eastAsia" w:ascii="宋体" w:hAnsi="宋体" w:eastAsia="宋体" w:cs="Arial"/>
                <w:b/>
                <w:bCs/>
                <w:i/>
                <w:iCs/>
                <w:kern w:val="2"/>
                <w:sz w:val="21"/>
                <w:szCs w:val="21"/>
                <w:u w:val="single"/>
                <w:lang w:val="en-US" w:eastAsia="zh-CN" w:bidi="ar-SA"/>
              </w:rPr>
              <w:t>未提供出已对蒸化过程进行了确认相关证据</w:t>
            </w:r>
            <w:r>
              <w:rPr>
                <w:rFonts w:hint="eastAsia"/>
                <w:u w:val="single"/>
              </w:rPr>
              <w:t xml:space="preserve"> 。</w:t>
            </w:r>
          </w:p>
          <w:p>
            <w:pPr>
              <w:shd w:val="clear" w:color="auto" w:fill="C7DA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hint="eastAsia" w:asciiTheme="minorEastAsia" w:hAnsiTheme="minorEastAsia" w:eastAsiaTheme="minor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ascii="Wingdings" w:hAnsi="Wingdings"/>
              </w:rPr>
              <w:t>□</w:t>
            </w:r>
            <w:r>
              <w:rPr>
                <w:rFonts w:hint="eastAsia"/>
              </w:rPr>
              <w:t xml:space="preserve">容器编号 ■人员编号 </w:t>
            </w:r>
            <w:r>
              <w:rPr>
                <w:rFonts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w:t>
            </w:r>
            <w:r>
              <w:rPr>
                <w:rFonts w:ascii="Wingdings" w:hAnsi="Wingdings"/>
              </w:rPr>
              <w:t>□</w:t>
            </w:r>
            <w:r>
              <w:rPr>
                <w:rFonts w:hint="eastAsia"/>
              </w:rPr>
              <w:t xml:space="preserve">设备 </w:t>
            </w:r>
            <w:r>
              <w:rPr>
                <w:rFonts w:ascii="Wingdings" w:hAnsi="Wingdings"/>
              </w:rPr>
              <w:t>□</w:t>
            </w:r>
            <w:r>
              <w:rPr>
                <w:rFonts w:hint="eastAsia"/>
              </w:rPr>
              <w:t xml:space="preserve">检测设备 ■图纸 </w:t>
            </w:r>
            <w:r>
              <w:rPr>
                <w:rFonts w:ascii="Wingdings" w:hAnsi="Wingdings"/>
              </w:rPr>
              <w:t>□</w:t>
            </w:r>
            <w:r>
              <w:rPr>
                <w:rFonts w:hint="eastAsia"/>
              </w:rPr>
              <w:t xml:space="preserve">配方 ■个人信息 </w:t>
            </w:r>
            <w:r>
              <w:rPr>
                <w:rFonts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产品防护：■符合要求</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ascii="Wingdings" w:hAnsi="Wingdings"/>
              </w:rPr>
              <w:t>□</w:t>
            </w:r>
            <w:r>
              <w:rPr>
                <w:rFonts w:hint="eastAsia"/>
              </w:rPr>
              <w:t xml:space="preserve">三包■维修 </w:t>
            </w:r>
            <w:r>
              <w:rPr>
                <w:rFonts w:ascii="Wingdings" w:hAnsi="Wingdings"/>
              </w:rPr>
              <w:t>□</w:t>
            </w:r>
            <w:r>
              <w:rPr>
                <w:rFonts w:hint="eastAsia"/>
              </w:rPr>
              <w:t xml:space="preserve">赔偿 </w:t>
            </w:r>
            <w:r>
              <w:rPr>
                <w:rFonts w:ascii="Wingdings" w:hAnsi="Wingdings"/>
              </w:rPr>
              <w:t>□</w:t>
            </w:r>
            <w:r>
              <w:rPr>
                <w:rFonts w:hint="eastAsia"/>
              </w:rPr>
              <w:t xml:space="preserve">道歉 </w:t>
            </w:r>
            <w:r>
              <w:rPr>
                <w:rFonts w:ascii="Wingdings" w:hAnsi="Wingdings"/>
              </w:rPr>
              <w:t>□</w:t>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 无</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ascii="Wingdings" w:hAnsi="Wingdings"/>
              </w:rPr>
              <w:t>□</w:t>
            </w:r>
            <w:r>
              <w:rPr>
                <w:rFonts w:hint="eastAsia"/>
              </w:rPr>
              <w:t xml:space="preserve">首件检验■过程检验 ■最终检验 </w:t>
            </w:r>
            <w:r>
              <w:rPr>
                <w:rFonts w:ascii="Wingdings" w:hAnsi="Wingdings"/>
              </w:rPr>
              <w:sym w:font="Wingdings 2" w:char="00A3"/>
            </w:r>
            <w:r>
              <w:rPr>
                <w:rFonts w:hint="eastAsia"/>
              </w:rPr>
              <w:t xml:space="preserve">委托检验 </w:t>
            </w:r>
            <w:r>
              <w:rPr>
                <w:rFonts w:ascii="Wingdings" w:hAnsi="Wingdings"/>
              </w:rPr>
              <w:sym w:font="Wingdings 2" w:char="00A3"/>
            </w:r>
            <w:r>
              <w:rPr>
                <w:rFonts w:hint="eastAsia"/>
              </w:rPr>
              <w:t>其他</w:t>
            </w:r>
          </w:p>
          <w:p>
            <w:pPr>
              <w:shd w:val="clear" w:color="auto" w:fill="C7DAF1" w:themeFill="text2" w:themeFillTint="32"/>
            </w:pPr>
            <w:r>
              <w:rPr>
                <w:rFonts w:hint="eastAsia"/>
              </w:rPr>
              <w:t>《委托检验报告》，如：</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w:t>
            </w:r>
            <w:r>
              <w:rPr>
                <w:rFonts w:ascii="Wingdings" w:hAnsi="Wingdings"/>
              </w:rPr>
              <w:t>□</w:t>
            </w:r>
            <w:r>
              <w:rPr>
                <w:rFonts w:hint="eastAsia"/>
              </w:rPr>
              <w:t xml:space="preserve">顾客对交付产品或服务的反馈  </w:t>
            </w:r>
            <w:r>
              <w:rPr>
                <w:rFonts w:ascii="Wingdings" w:hAnsi="Wingdings"/>
              </w:rPr>
              <w:t>□</w:t>
            </w:r>
            <w:r>
              <w:rPr>
                <w:rFonts w:hint="eastAsia"/>
              </w:rPr>
              <w:t xml:space="preserve">顾客座谈 </w:t>
            </w:r>
            <w:r>
              <w:rPr>
                <w:rFonts w:ascii="Wingdings" w:hAnsi="Wingdings"/>
              </w:rPr>
              <w:t>□</w:t>
            </w:r>
            <w:r>
              <w:rPr>
                <w:rFonts w:hint="eastAsia"/>
              </w:rPr>
              <w:t xml:space="preserve">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Pr>
                <w:rFonts w:hint="eastAsia"/>
                <w:u w:val="single"/>
                <w:lang w:val="en-US" w:eastAsia="zh-CN"/>
              </w:rPr>
              <w:t>3</w:t>
            </w:r>
            <w:r>
              <w:rPr>
                <w:rFonts w:hint="eastAsia"/>
                <w:u w:val="single"/>
              </w:rPr>
              <w:t xml:space="preserve">  </w:t>
            </w:r>
            <w:r>
              <w:rPr>
                <w:rFonts w:hint="eastAsia"/>
              </w:rPr>
              <w:t>年</w:t>
            </w:r>
            <w:r>
              <w:rPr>
                <w:rFonts w:hint="eastAsia"/>
                <w:u w:val="single"/>
              </w:rPr>
              <w:t xml:space="preserve"> 1 </w:t>
            </w:r>
            <w:r>
              <w:rPr>
                <w:rFonts w:hint="eastAsia"/>
              </w:rPr>
              <w:t>月</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若是组织多场所/临时场所：（按照组织的实际情况选择）无</w:t>
            </w:r>
          </w:p>
          <w:p>
            <w:pPr>
              <w:shd w:val="clear" w:color="auto" w:fill="C7DAF1" w:themeFill="text2" w:themeFillTint="32"/>
            </w:pPr>
            <w:r>
              <w:rPr>
                <w:rFonts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ascii="Wingdings" w:hAnsi="Wingdings"/>
              </w:rPr>
              <w:t>□</w:t>
            </w:r>
            <w:r>
              <w:rPr>
                <w:rFonts w:hint="eastAsia"/>
              </w:rPr>
              <w:t>对所有班次的现场操作已审核。</w:t>
            </w:r>
          </w:p>
          <w:p>
            <w:pPr>
              <w:shd w:val="clear" w:color="auto" w:fill="C7DA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202</w:t>
            </w:r>
            <w:r>
              <w:rPr>
                <w:rFonts w:hint="eastAsia"/>
                <w:u w:val="single"/>
                <w:lang w:val="en-US" w:eastAsia="zh-CN"/>
              </w:rPr>
              <w:t>3</w:t>
            </w:r>
            <w:r>
              <w:rPr>
                <w:rFonts w:hint="eastAsia"/>
                <w:u w:val="single"/>
              </w:rPr>
              <w:t xml:space="preserve">  </w:t>
            </w:r>
            <w:r>
              <w:rPr>
                <w:rFonts w:hint="eastAsia"/>
              </w:rPr>
              <w:t>年</w:t>
            </w:r>
            <w:r>
              <w:rPr>
                <w:rFonts w:hint="eastAsia"/>
                <w:u w:val="single"/>
              </w:rPr>
              <w:t xml:space="preserve">  1 </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■不合格产品/服务■自我验证的结果  </w:t>
            </w:r>
            <w:r>
              <w:rPr>
                <w:rFonts w:ascii="Wingdings" w:hAnsi="Wingdings"/>
              </w:rPr>
              <w:t>□</w:t>
            </w:r>
            <w:r>
              <w:rPr>
                <w:rFonts w:hint="eastAsia"/>
              </w:rPr>
              <w:t xml:space="preserve">顾客投诉  ■顾客满意调查 </w:t>
            </w:r>
          </w:p>
          <w:p>
            <w:pPr>
              <w:shd w:val="clear" w:color="auto" w:fill="C7DAF1" w:themeFill="text2" w:themeFillTint="32"/>
            </w:pPr>
            <w:r>
              <w:rPr>
                <w:rFonts w:hint="eastAsia"/>
              </w:rPr>
              <w:t xml:space="preserve">■内审不符合项   </w:t>
            </w:r>
            <w:r>
              <w:rPr>
                <w:rFonts w:ascii="Wingdings" w:hAnsi="Wingdings"/>
              </w:rPr>
              <w:t>□</w:t>
            </w:r>
            <w:r>
              <w:rPr>
                <w:rFonts w:hint="eastAsia"/>
              </w:rPr>
              <w:t xml:space="preserve">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pPr>
            <w:r>
              <w:rPr>
                <w:rFonts w:hint="eastAsia"/>
              </w:rPr>
              <w:t>0</w:t>
            </w:r>
          </w:p>
        </w:tc>
        <w:tc>
          <w:tcPr>
            <w:tcW w:w="650" w:type="dxa"/>
            <w:vAlign w:val="center"/>
          </w:tcPr>
          <w:p>
            <w:pPr>
              <w:shd w:val="clear" w:color="auto" w:fill="C7DAF1" w:themeFill="text2" w:themeFillTint="32"/>
            </w:pPr>
            <w:r>
              <w:rPr>
                <w:rFonts w:hint="eastAsia"/>
              </w:rPr>
              <w:t>0</w:t>
            </w:r>
          </w:p>
        </w:tc>
        <w:tc>
          <w:tcPr>
            <w:tcW w:w="650" w:type="dxa"/>
            <w:vAlign w:val="center"/>
          </w:tcPr>
          <w:p>
            <w:pPr>
              <w:shd w:val="clear" w:color="auto" w:fill="C7DAF1" w:themeFill="text2" w:themeFillTint="32"/>
            </w:pPr>
            <w:r>
              <w:rPr>
                <w:rFonts w:hint="eastAsia"/>
              </w:rPr>
              <w:t>0</w:t>
            </w:r>
          </w:p>
        </w:tc>
        <w:tc>
          <w:tcPr>
            <w:tcW w:w="649" w:type="dxa"/>
            <w:vAlign w:val="center"/>
          </w:tcPr>
          <w:p>
            <w:pPr>
              <w:shd w:val="clear" w:color="auto" w:fill="C7DAF1" w:themeFill="text2" w:themeFillTint="32"/>
            </w:pPr>
            <w:r>
              <w:rPr>
                <w:rFonts w:hint="eastAsia"/>
              </w:rPr>
              <w:t>0</w:t>
            </w:r>
          </w:p>
        </w:tc>
        <w:tc>
          <w:tcPr>
            <w:tcW w:w="650" w:type="dxa"/>
            <w:vAlign w:val="center"/>
          </w:tcPr>
          <w:p>
            <w:pPr>
              <w:shd w:val="clear" w:color="auto" w:fill="C7DAF1" w:themeFill="text2" w:themeFillTint="32"/>
            </w:pPr>
            <w:r>
              <w:rPr>
                <w:rFonts w:hint="eastAsia"/>
              </w:rPr>
              <w:t>0</w:t>
            </w:r>
          </w:p>
        </w:tc>
        <w:tc>
          <w:tcPr>
            <w:tcW w:w="650" w:type="dxa"/>
            <w:vAlign w:val="center"/>
          </w:tcPr>
          <w:p>
            <w:pPr>
              <w:shd w:val="clear" w:color="auto" w:fill="C7DAF1" w:themeFill="text2" w:themeFillTint="32"/>
            </w:pPr>
            <w:r>
              <w:rPr>
                <w:rFonts w:hint="eastAsia"/>
              </w:rPr>
              <w:t>0</w:t>
            </w:r>
          </w:p>
        </w:tc>
        <w:tc>
          <w:tcPr>
            <w:tcW w:w="649" w:type="dxa"/>
            <w:vAlign w:val="center"/>
          </w:tcPr>
          <w:p>
            <w:pPr>
              <w:shd w:val="clear" w:color="auto" w:fill="C7DAF1" w:themeFill="text2" w:themeFillTint="32"/>
            </w:pPr>
            <w:r>
              <w:rPr>
                <w:rFonts w:hint="eastAsia"/>
              </w:rPr>
              <w:t>0</w:t>
            </w:r>
          </w:p>
        </w:tc>
        <w:tc>
          <w:tcPr>
            <w:tcW w:w="650" w:type="dxa"/>
            <w:vAlign w:val="center"/>
          </w:tcPr>
          <w:p>
            <w:pPr>
              <w:shd w:val="clear" w:color="auto" w:fill="C7DAF1" w:themeFill="text2" w:themeFillTint="32"/>
            </w:pPr>
            <w:r>
              <w:rPr>
                <w:rFonts w:hint="eastAsia"/>
              </w:rPr>
              <w:t>0</w:t>
            </w:r>
          </w:p>
        </w:tc>
        <w:tc>
          <w:tcPr>
            <w:tcW w:w="650" w:type="dxa"/>
            <w:vAlign w:val="center"/>
          </w:tcPr>
          <w:p>
            <w:pPr>
              <w:shd w:val="clear" w:color="auto" w:fill="C7DAF1" w:themeFill="text2" w:themeFillTint="32"/>
            </w:pPr>
            <w:r>
              <w:rPr>
                <w:rFonts w:hint="eastAsia"/>
              </w:rPr>
              <w:t>0</w:t>
            </w:r>
          </w:p>
        </w:tc>
        <w:tc>
          <w:tcPr>
            <w:tcW w:w="649" w:type="dxa"/>
            <w:vAlign w:val="center"/>
          </w:tcPr>
          <w:p>
            <w:pPr>
              <w:shd w:val="clear" w:color="auto" w:fill="C7DAF1" w:themeFill="text2" w:themeFillTint="32"/>
            </w:pPr>
            <w:r>
              <w:rPr>
                <w:rFonts w:hint="eastAsia"/>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3</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pPr>
            <w:r>
              <w:rPr>
                <w:rFonts w:hint="eastAsia"/>
              </w:rPr>
              <w:t>0</w:t>
            </w:r>
          </w:p>
        </w:tc>
        <w:tc>
          <w:tcPr>
            <w:tcW w:w="650" w:type="dxa"/>
            <w:vAlign w:val="center"/>
          </w:tcPr>
          <w:p>
            <w:pPr>
              <w:shd w:val="clear" w:color="auto" w:fill="C7DAF1" w:themeFill="text2" w:themeFillTint="32"/>
            </w:pPr>
            <w:r>
              <w:rPr>
                <w:rFonts w:hint="eastAsia"/>
              </w:rPr>
              <w:t>0</w:t>
            </w:r>
          </w:p>
        </w:tc>
        <w:tc>
          <w:tcPr>
            <w:tcW w:w="649" w:type="dxa"/>
            <w:vAlign w:val="center"/>
          </w:tcPr>
          <w:p>
            <w:pPr>
              <w:shd w:val="clear" w:color="auto" w:fill="C7DAF1" w:themeFill="text2" w:themeFillTint="32"/>
            </w:pPr>
            <w:r>
              <w:rPr>
                <w:rFonts w:hint="eastAsia"/>
              </w:rPr>
              <w:t>0</w:t>
            </w:r>
          </w:p>
        </w:tc>
        <w:tc>
          <w:tcPr>
            <w:tcW w:w="650" w:type="dxa"/>
            <w:vAlign w:val="center"/>
          </w:tcPr>
          <w:p>
            <w:pPr>
              <w:shd w:val="clear" w:color="auto" w:fill="C7DAF1" w:themeFill="text2" w:themeFillTint="32"/>
            </w:pPr>
            <w:r>
              <w:rPr>
                <w:rFonts w:hint="eastAsia"/>
              </w:rPr>
              <w:t>0</w:t>
            </w:r>
          </w:p>
        </w:tc>
        <w:tc>
          <w:tcPr>
            <w:tcW w:w="650" w:type="dxa"/>
            <w:vAlign w:val="center"/>
          </w:tcPr>
          <w:p>
            <w:pPr>
              <w:shd w:val="clear" w:color="auto" w:fill="C7DAF1" w:themeFill="text2" w:themeFillTint="32"/>
            </w:pPr>
            <w:r>
              <w:rPr>
                <w:rFonts w:hint="eastAsia"/>
              </w:rPr>
              <w:t>0</w:t>
            </w:r>
          </w:p>
        </w:tc>
        <w:tc>
          <w:tcPr>
            <w:tcW w:w="649" w:type="dxa"/>
            <w:tcBorders>
              <w:bottom w:val="single" w:color="auto" w:sz="4" w:space="0"/>
            </w:tcBorders>
            <w:vAlign w:val="center"/>
          </w:tcPr>
          <w:p>
            <w:pPr>
              <w:shd w:val="clear" w:color="auto" w:fill="C7DAF1" w:themeFill="text2" w:themeFillTint="32"/>
            </w:pPr>
            <w:r>
              <w:rPr>
                <w:rFonts w:hint="eastAsia"/>
              </w:rPr>
              <w:t>0</w:t>
            </w:r>
          </w:p>
        </w:tc>
        <w:tc>
          <w:tcPr>
            <w:tcW w:w="650" w:type="dxa"/>
            <w:tcBorders>
              <w:bottom w:val="single" w:color="auto" w:sz="4" w:space="0"/>
            </w:tcBorders>
            <w:vAlign w:val="center"/>
          </w:tcPr>
          <w:p>
            <w:pPr>
              <w:shd w:val="clear" w:color="auto" w:fill="C7DAF1" w:themeFill="text2" w:themeFillTint="32"/>
            </w:pPr>
            <w:r>
              <w:rPr>
                <w:rFonts w:hint="eastAsia"/>
              </w:rPr>
              <w:t>0</w:t>
            </w:r>
          </w:p>
        </w:tc>
        <w:tc>
          <w:tcPr>
            <w:tcW w:w="650" w:type="dxa"/>
            <w:tcBorders>
              <w:bottom w:val="single" w:color="auto" w:sz="4" w:space="0"/>
            </w:tcBorders>
            <w:vAlign w:val="center"/>
          </w:tcPr>
          <w:p>
            <w:pPr>
              <w:shd w:val="clear" w:color="auto" w:fill="C7DAF1" w:themeFill="text2" w:themeFillTint="32"/>
            </w:pPr>
            <w:r>
              <w:rPr>
                <w:rFonts w:hint="eastAsia"/>
              </w:rPr>
              <w:t>0</w:t>
            </w:r>
          </w:p>
        </w:tc>
        <w:tc>
          <w:tcPr>
            <w:tcW w:w="649" w:type="dxa"/>
            <w:tcBorders>
              <w:bottom w:val="single" w:color="auto" w:sz="4" w:space="0"/>
            </w:tcBorders>
            <w:vAlign w:val="center"/>
          </w:tcPr>
          <w:p>
            <w:pPr>
              <w:shd w:val="clear" w:color="auto" w:fill="C7DAF1" w:themeFill="text2" w:themeFillTint="32"/>
            </w:pPr>
            <w:r>
              <w:rPr>
                <w:rFonts w:hint="eastAsia"/>
              </w:rPr>
              <w:t>1</w:t>
            </w:r>
          </w:p>
        </w:tc>
        <w:tc>
          <w:tcPr>
            <w:tcW w:w="650" w:type="dxa"/>
            <w:tcBorders>
              <w:bottom w:val="single" w:color="auto" w:sz="4" w:space="0"/>
            </w:tcBorders>
            <w:vAlign w:val="center"/>
          </w:tcPr>
          <w:p>
            <w:pPr>
              <w:shd w:val="clear" w:color="auto" w:fill="C7DAF1" w:themeFill="text2" w:themeFillTint="32"/>
            </w:pPr>
            <w:r>
              <w:rPr>
                <w:rFonts w:hint="eastAsia"/>
              </w:rPr>
              <w:t>0</w:t>
            </w:r>
          </w:p>
        </w:tc>
        <w:tc>
          <w:tcPr>
            <w:tcW w:w="650" w:type="dxa"/>
            <w:tcBorders>
              <w:bottom w:val="single" w:color="auto" w:sz="4" w:space="0"/>
            </w:tcBorders>
            <w:vAlign w:val="center"/>
          </w:tcPr>
          <w:p>
            <w:pPr>
              <w:shd w:val="clear" w:color="auto" w:fill="C7DAF1" w:themeFill="text2" w:themeFillTint="32"/>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pPr>
            <w:r>
              <w:rPr>
                <w:rFonts w:hint="eastAsia"/>
              </w:rPr>
              <w:t>0</w:t>
            </w:r>
          </w:p>
        </w:tc>
        <w:tc>
          <w:tcPr>
            <w:tcW w:w="650" w:type="dxa"/>
            <w:vAlign w:val="center"/>
          </w:tcPr>
          <w:p>
            <w:pPr>
              <w:shd w:val="clear" w:color="auto" w:fill="C7DAF1" w:themeFill="text2" w:themeFillTint="32"/>
            </w:pPr>
            <w:r>
              <w:rPr>
                <w:rFonts w:hint="eastAsia"/>
              </w:rPr>
              <w:t>0</w:t>
            </w:r>
          </w:p>
        </w:tc>
        <w:tc>
          <w:tcPr>
            <w:tcW w:w="650" w:type="dxa"/>
            <w:vAlign w:val="center"/>
          </w:tcPr>
          <w:p>
            <w:pPr>
              <w:shd w:val="clear" w:color="auto" w:fill="C7DAF1" w:themeFill="text2" w:themeFillTint="32"/>
            </w:pPr>
            <w:r>
              <w:rPr>
                <w:rFonts w:hint="eastAsia"/>
              </w:rPr>
              <w:t>0</w:t>
            </w:r>
          </w:p>
        </w:tc>
        <w:tc>
          <w:tcPr>
            <w:tcW w:w="649" w:type="dxa"/>
            <w:vAlign w:val="center"/>
          </w:tcPr>
          <w:p>
            <w:pPr>
              <w:shd w:val="clear" w:color="auto" w:fill="C7DAF1" w:themeFill="text2" w:themeFillTint="32"/>
            </w:pPr>
            <w:r>
              <w:rPr>
                <w:rFonts w:hint="eastAsia"/>
              </w:rPr>
              <w:t>0</w:t>
            </w:r>
          </w:p>
        </w:tc>
        <w:tc>
          <w:tcPr>
            <w:tcW w:w="650" w:type="dxa"/>
            <w:vAlign w:val="center"/>
          </w:tcPr>
          <w:p>
            <w:pPr>
              <w:shd w:val="clear" w:color="auto" w:fill="C7DAF1" w:themeFill="text2" w:themeFillTint="32"/>
            </w:pPr>
            <w:r>
              <w:rPr>
                <w:rFonts w:hint="eastAsia"/>
              </w:rPr>
              <w:t>0</w:t>
            </w:r>
          </w:p>
        </w:tc>
        <w:tc>
          <w:tcPr>
            <w:tcW w:w="650" w:type="dxa"/>
            <w:vAlign w:val="center"/>
          </w:tcPr>
          <w:p>
            <w:pPr>
              <w:shd w:val="clear" w:color="auto" w:fill="C7DAF1" w:themeFill="text2" w:themeFillTint="32"/>
            </w:pPr>
            <w:r>
              <w:rPr>
                <w:rFonts w:hint="eastAsia"/>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3073" o:spid="_x0000_s3073"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DC458"/>
    <w:multiLevelType w:val="singleLevel"/>
    <w:tmpl w:val="A92DC458"/>
    <w:lvl w:ilvl="0" w:tentative="0">
      <w:start w:val="1"/>
      <w:numFmt w:val="decimal"/>
      <w:lvlText w:val="%1."/>
      <w:lvlJc w:val="left"/>
      <w:pPr>
        <w:tabs>
          <w:tab w:val="left" w:pos="312"/>
        </w:tabs>
      </w:p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VjOWY5MmIxZGI2NTJmOGI5Yzg2MzEwNzA4OWE1NDUifQ=="/>
  </w:docVars>
  <w:rsids>
    <w:rsidRoot w:val="00197A8B"/>
    <w:rsid w:val="00197A8B"/>
    <w:rsid w:val="00637222"/>
    <w:rsid w:val="006D2D55"/>
    <w:rsid w:val="0077542E"/>
    <w:rsid w:val="00817F84"/>
    <w:rsid w:val="00876BE6"/>
    <w:rsid w:val="008E7E2A"/>
    <w:rsid w:val="009941BB"/>
    <w:rsid w:val="00A41446"/>
    <w:rsid w:val="00AF53AF"/>
    <w:rsid w:val="00C21348"/>
    <w:rsid w:val="00E81286"/>
    <w:rsid w:val="00F469E2"/>
    <w:rsid w:val="00F61852"/>
    <w:rsid w:val="00FB1640"/>
    <w:rsid w:val="0A894972"/>
    <w:rsid w:val="24F40798"/>
    <w:rsid w:val="2EFA722C"/>
    <w:rsid w:val="2F5455B7"/>
    <w:rsid w:val="32C672C2"/>
    <w:rsid w:val="402C3E3B"/>
    <w:rsid w:val="43EE7018"/>
    <w:rsid w:val="4A5D4EF8"/>
    <w:rsid w:val="4D671205"/>
    <w:rsid w:val="4EAA6AFD"/>
    <w:rsid w:val="53653760"/>
    <w:rsid w:val="5898534D"/>
    <w:rsid w:val="5CC44962"/>
    <w:rsid w:val="5CE35741"/>
    <w:rsid w:val="669435F8"/>
    <w:rsid w:val="6CF272CA"/>
    <w:rsid w:val="6FD66A2F"/>
    <w:rsid w:val="746D1CBB"/>
    <w:rsid w:val="772B3B04"/>
    <w:rsid w:val="793A1D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26"/>
    <w:semiHidden/>
    <w:unhideWhenUsed/>
    <w:qFormat/>
    <w:uiPriority w:val="99"/>
    <w:pPr>
      <w:spacing w:line="420" w:lineRule="exact"/>
    </w:pPr>
    <w:rPr>
      <w:sz w:val="24"/>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批注框文本 Char"/>
    <w:basedOn w:val="11"/>
    <w:link w:val="4"/>
    <w:semiHidden/>
    <w:qFormat/>
    <w:uiPriority w:val="99"/>
    <w:rPr>
      <w:rFonts w:ascii="Times New Roman" w:hAnsi="Times New Roman" w:eastAsia="宋体" w:cs="Times New Roman"/>
      <w:sz w:val="18"/>
      <w:szCs w:val="18"/>
    </w:rPr>
  </w:style>
  <w:style w:type="character" w:customStyle="1" w:styleId="14">
    <w:name w:val="页脚 Char"/>
    <w:basedOn w:val="11"/>
    <w:link w:val="5"/>
    <w:qFormat/>
    <w:uiPriority w:val="99"/>
    <w:rPr>
      <w:rFonts w:ascii="Times New Roman" w:hAnsi="Times New Roman" w:eastAsia="宋体" w:cs="Times New Roman"/>
      <w:sz w:val="18"/>
      <w:szCs w:val="18"/>
    </w:rPr>
  </w:style>
  <w:style w:type="character" w:customStyle="1" w:styleId="15">
    <w:name w:val="页眉 Char1"/>
    <w:basedOn w:val="11"/>
    <w:link w:val="6"/>
    <w:qFormat/>
    <w:uiPriority w:val="0"/>
    <w:rPr>
      <w:rFonts w:ascii="Times New Roman" w:hAnsi="Times New Roman" w:eastAsia="宋体" w:cs="Times New Roman"/>
      <w:sz w:val="18"/>
      <w:szCs w:val="18"/>
    </w:rPr>
  </w:style>
  <w:style w:type="character" w:customStyle="1" w:styleId="16">
    <w:name w:val="HTML 预设格式 Char"/>
    <w:basedOn w:val="11"/>
    <w:link w:val="7"/>
    <w:qFormat/>
    <w:uiPriority w:val="99"/>
    <w:rPr>
      <w:rFonts w:ascii="Courier New" w:hAnsi="Courier New" w:eastAsia="Times New Roman" w:cs="Courier New"/>
      <w:kern w:val="2"/>
    </w:rPr>
  </w:style>
  <w:style w:type="paragraph" w:styleId="17">
    <w:name w:val="List Paragraph"/>
    <w:basedOn w:val="1"/>
    <w:qFormat/>
    <w:uiPriority w:val="26"/>
    <w:pPr>
      <w:ind w:firstLine="420" w:firstLineChars="200"/>
    </w:p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6">
    <w:name w:val="正文文本 Char"/>
    <w:basedOn w:val="11"/>
    <w:link w:val="3"/>
    <w:semiHidden/>
    <w:qFormat/>
    <w:uiPriority w:val="99"/>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8287</Words>
  <Characters>8867</Characters>
  <Lines>76</Lines>
  <Paragraphs>21</Paragraphs>
  <TotalTime>4</TotalTime>
  <ScaleCrop>false</ScaleCrop>
  <LinksUpToDate>false</LinksUpToDate>
  <CharactersWithSpaces>9800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付正</cp:lastModifiedBy>
  <cp:lastPrinted>2019-05-13T03:19:00Z</cp:lastPrinted>
  <dcterms:modified xsi:type="dcterms:W3CDTF">2023-03-15T13:38:03Z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