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综合管理部；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陆成娇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陆成娇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bookmarkStart w:id="2" w:name="_GoBack"/>
            <w:bookmarkEnd w:id="2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22-23</w:t>
            </w:r>
            <w:r>
              <w:rPr>
                <w:sz w:val="24"/>
                <w:szCs w:val="24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4"/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、9.1.3分析与评价、9.2 内部审核、10.2不合格和纠正措施。 </w:t>
            </w:r>
          </w:p>
          <w:p>
            <w:pPr>
              <w:pStyle w:val="4"/>
              <w:bidi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E/OMS: 5.3组织的岗位、职责和权限、6.2.1环境/职业健康安全目标、6.2.2实现环境/职业健康安全目标措施的策划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9.2 内部审核、10.2不符合/事件和纠正措施，</w:t>
            </w:r>
          </w:p>
        </w:tc>
        <w:tc>
          <w:tcPr>
            <w:tcW w:w="1585" w:type="dxa"/>
            <w:vMerge w:val="continue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组织的角色、职责和权限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QES5.3</w:t>
            </w:r>
          </w:p>
        </w:tc>
        <w:tc>
          <w:tcPr>
            <w:tcW w:w="10004" w:type="dxa"/>
          </w:tcPr>
          <w:p>
            <w:pPr>
              <w:pStyle w:val="4"/>
              <w:bidi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查管理手册5.3.2.3条款规定了部门职责，具体如下：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1）公司质量、环境和职业健康安全管理体系的归口管理。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2）负责组织内部审核、外部审核、管理评审中纠正和预防措施的实施和内部沟通工作；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3）编制岗位能力要求，负责组织实施职工培训工作，为质量管理体系有效运行提供合格的人力资源；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4）负责对本公司人员教育和管理工作，不断提高人员的质量意识和素质，做好生产过程中的与其他部门的配合接口工作；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5）负责文件、资料的管理工作；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等等。。。。。。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——其部门负责人表述与文件规定基本一致。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pStyle w:val="4"/>
              <w:bidi w:val="0"/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目标及其实现的策划 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QES6.2</w:t>
            </w:r>
          </w:p>
        </w:tc>
        <w:tc>
          <w:tcPr>
            <w:tcW w:w="10004" w:type="dxa"/>
          </w:tcPr>
          <w:p>
            <w:pPr>
              <w:pStyle w:val="4"/>
              <w:bidi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策划有《目标指标管理方案控制程序》。</w:t>
            </w:r>
          </w:p>
          <w:p>
            <w:pPr>
              <w:pStyle w:val="4"/>
              <w:bidi w:val="0"/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提供有“环境目标、指标管理方案”和“职业健康安全目标、指标管理方案”，编制：魏小洪 ；2022年9月26日；审批：胡时福 ；2022年9月26日；对环境及职业健康安全管理目标进行了策划、实施及完成情况评价；按生产经营全过程的环境因素及不可接受风险，分解到责任部门、责任人，分配了资金投入，按时间节点进行完成情况统计和评价。管理的环境因素主要包括：噪声、粉尘；管理的不可接受风险主要包括：高处坠落、运输伤害、机械伤害、职业病。经查，职业健康安全方案已正常实施开展并经过监督检查，未发现异常，符合要求。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——经专业审核员确认，管理方案符合行业特定要求。</w:t>
            </w:r>
          </w:p>
          <w:p>
            <w:pPr>
              <w:pStyle w:val="4"/>
              <w:bidi w:val="0"/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查看“目标、指标、绩效完成情况统计表”，内容显示，截止22.12.30.公司及部门目标均已完成。</w:t>
            </w:r>
          </w:p>
          <w:tbl>
            <w:tblPr>
              <w:tblStyle w:val="10"/>
              <w:tblW w:w="97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3316"/>
              <w:gridCol w:w="2874"/>
              <w:gridCol w:w="902"/>
              <w:gridCol w:w="1254"/>
              <w:gridCol w:w="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714" w:type="dxa"/>
                  <w:vMerge w:val="restart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1、顾客满意度≥90%以上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顾客满意度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 n×100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96.8</w:t>
                  </w:r>
                  <w:r>
                    <w:rPr>
                      <w:rFonts w:hint="eastAsia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2、成品交付合格率≧</w:t>
                  </w:r>
                  <w:r>
                    <w:rPr>
                      <w:sz w:val="24"/>
                      <w:szCs w:val="24"/>
                    </w:rPr>
                    <w:t>99</w:t>
                  </w:r>
                  <w:r>
                    <w:rPr>
                      <w:rFonts w:hint="eastAsia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交验合格数/抽样总数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3、产品破损率&lt;1%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破损产品/总产量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4、合同履约率≥100%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周期已履约合同数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周期所签合同总数×100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5、设备完好率≥95%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完好设备台数/设备总台数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>
                    <w:rPr>
                      <w:rFonts w:hint="eastAsia"/>
                      <w:sz w:val="24"/>
                      <w:szCs w:val="24"/>
                    </w:rPr>
                    <w:t>、噪声、粉尘达标排放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监测报告监测结果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达标排放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714" w:type="dxa"/>
                  <w:vMerge w:val="restart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综合管理部</w:t>
                  </w: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1、文件准确发放率100%（在使用处可获得有效版本）。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实际发放数/应该发放数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2、培训计划实施率达到100%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实际完成数/计划完成数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3、劳动用品发放率100%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实际发放数/应该发放数</w:t>
                  </w: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×100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714" w:type="dxa"/>
                  <w:vMerge w:val="continue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4、按规定处置固体废弃物——固体废弃物违规处置率为0</w:t>
                  </w:r>
                </w:p>
              </w:tc>
              <w:tc>
                <w:tcPr>
                  <w:tcW w:w="2874" w:type="dxa"/>
                  <w:noWrap w:val="0"/>
                  <w:vAlign w:val="top"/>
                </w:tcPr>
                <w:p>
                  <w:pPr>
                    <w:pStyle w:val="4"/>
                    <w:bidi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按实际发生</w:t>
                  </w:r>
                </w:p>
              </w:tc>
              <w:tc>
                <w:tcPr>
                  <w:tcW w:w="902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4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202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.3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717" w:type="dxa"/>
                  <w:noWrap w:val="0"/>
                  <w:vAlign w:val="center"/>
                </w:tcPr>
                <w:p>
                  <w:pPr>
                    <w:pStyle w:val="4"/>
                    <w:bidi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魏小洪</w:t>
                  </w:r>
                </w:p>
              </w:tc>
            </w:tr>
          </w:tbl>
          <w:p>
            <w:pPr>
              <w:pStyle w:val="4"/>
              <w:bidi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bidi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pStyle w:val="4"/>
              <w:bidi w:val="0"/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pStyle w:val="4"/>
              <w:bidi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内部审核</w:t>
            </w:r>
          </w:p>
        </w:tc>
        <w:tc>
          <w:tcPr>
            <w:tcW w:w="960" w:type="dxa"/>
          </w:tcPr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QES9.2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制定了《内部审核控制程序》进行内部审核过程控制。提供内审记录，抽查内容如下：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胡时福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袁勇、范晓军</w:t>
            </w:r>
            <w:r>
              <w:rPr>
                <w:rFonts w:hint="eastAsia"/>
                <w:sz w:val="24"/>
                <w:szCs w:val="24"/>
              </w:rPr>
              <w:t>：签到表显示，总经理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管代、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销售部经理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生产部经理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财务部主任等</w:t>
            </w:r>
            <w:r>
              <w:rPr>
                <w:rFonts w:hint="eastAsia"/>
                <w:sz w:val="24"/>
                <w:szCs w:val="24"/>
              </w:rPr>
              <w:t>参与了内部审核的首末次会议；提供了内审员任命书及首末次手写签到表。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11.20.</w:t>
            </w:r>
            <w:r>
              <w:rPr>
                <w:rFonts w:hint="eastAsia"/>
                <w:sz w:val="24"/>
                <w:szCs w:val="24"/>
              </w:rPr>
              <w:t>.制定计划，2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12.5-6.</w:t>
            </w:r>
            <w:r>
              <w:rPr>
                <w:rFonts w:hint="eastAsia"/>
                <w:sz w:val="24"/>
                <w:szCs w:val="24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查《内审报告》中内部审核结论记录如下：通过两天的内部审核，审核组认为公司的质量、环境、职业健康安全管理体系在正常运行，且取得了一定的效果，现场审核通过。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查《内审不符合报告》，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发现不符合项3条，涉及生产部、销售部、综合管理部</w:t>
            </w:r>
            <w:r>
              <w:rPr>
                <w:rFonts w:hint="eastAsia"/>
                <w:sz w:val="24"/>
                <w:szCs w:val="24"/>
              </w:rPr>
              <w:t>。不符合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/>
                <w:sz w:val="24"/>
                <w:szCs w:val="24"/>
              </w:rPr>
              <w:t>已验证关闭。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内部审核控制基本有效。</w:t>
            </w: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pStyle w:val="4"/>
              <w:bidi w:val="0"/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/>
              </w:rPr>
              <w:t>监视、测量、分析和评价绩效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总则/</w:t>
            </w:r>
            <w:r>
              <w:rPr>
                <w:sz w:val="24"/>
                <w:szCs w:val="24"/>
                <w:lang w:val="en-US" w:eastAsia="zh-CN"/>
              </w:rPr>
              <w:t>事件、不符合和纠正措施</w:t>
            </w:r>
          </w:p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pStyle w:val="4"/>
              <w:bidi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pStyle w:val="4"/>
              <w:bidi w:val="0"/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ES9.1.1/Q9.1.1/9.1.3/10.2;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执行“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监视和测量控制程序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质量及安全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体系的过程能力进行监视和测量，主要通过内审对管理体系运行的符合性和有效性进行监测；再通过管理评审对管理体系的充分性、有效性和适宜性作了肯定的评价，；通过目标考评，监测管理体系运行的有效性。组织在运行过程中对发现的不合格都会采取纠正措施，分析原因，举一反三地看待其他部门或类似过程，采取预防措施以防止发生不合格或不符合。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部门过程的监视、测量、分析、评价主要表现在以下几个方面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1.目标指标考评：其2022年度部门分解目标指标达成，有效证实体系过程具备目标指标的实现能力。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2. 日常监测包括自查、检查、接受检查，目前未发现问题。在各管代及部门工作报告中，整体认为公司各部门的监测分析工作基本有效。本年度内审中发现的不符合已验证关闭。管评的改进措施正在实施中。部门执行质量、环境、职业健康安全手册相关内容，明确公司收集分析信息数据的内容、责任部门及方法等内容。分析和评价机制已基本建立。基本符合要求。</w:t>
            </w:r>
          </w:p>
          <w:p>
            <w:pPr>
              <w:pStyle w:val="4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3.过程控制：出示有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“目标、指标、绩效完成情况统计表”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，“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员工绩效考核评分表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”，“年度培训计划”，“培训记录”、“内审”等。</w:t>
            </w:r>
          </w:p>
          <w:p>
            <w:pPr>
              <w:pStyle w:val="4"/>
              <w:bidi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pStyle w:val="4"/>
              <w:bidi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172A27"/>
    <w:rsid w:val="012810B4"/>
    <w:rsid w:val="012A6BDB"/>
    <w:rsid w:val="01B053AB"/>
    <w:rsid w:val="01B36BD0"/>
    <w:rsid w:val="01D636E1"/>
    <w:rsid w:val="01FF3881"/>
    <w:rsid w:val="022864F7"/>
    <w:rsid w:val="02290C40"/>
    <w:rsid w:val="02DA1F3A"/>
    <w:rsid w:val="03065425"/>
    <w:rsid w:val="04C9670A"/>
    <w:rsid w:val="04EA0483"/>
    <w:rsid w:val="050E27EE"/>
    <w:rsid w:val="059C5FC0"/>
    <w:rsid w:val="06C569FA"/>
    <w:rsid w:val="06DE04ED"/>
    <w:rsid w:val="074458C5"/>
    <w:rsid w:val="07C43D78"/>
    <w:rsid w:val="07D379FD"/>
    <w:rsid w:val="07D5029E"/>
    <w:rsid w:val="07DD49A7"/>
    <w:rsid w:val="08C2594B"/>
    <w:rsid w:val="08D37B58"/>
    <w:rsid w:val="0AF50259"/>
    <w:rsid w:val="0C14714C"/>
    <w:rsid w:val="0CF04171"/>
    <w:rsid w:val="0D4C5FCC"/>
    <w:rsid w:val="0EB73C3F"/>
    <w:rsid w:val="0F07433C"/>
    <w:rsid w:val="0F0D68E6"/>
    <w:rsid w:val="0F2271EE"/>
    <w:rsid w:val="0F3F7919"/>
    <w:rsid w:val="102712F0"/>
    <w:rsid w:val="10791814"/>
    <w:rsid w:val="1081177B"/>
    <w:rsid w:val="110506EF"/>
    <w:rsid w:val="114901B1"/>
    <w:rsid w:val="120D33A2"/>
    <w:rsid w:val="12415B32"/>
    <w:rsid w:val="12C33D03"/>
    <w:rsid w:val="13257202"/>
    <w:rsid w:val="134F427F"/>
    <w:rsid w:val="13DF33A8"/>
    <w:rsid w:val="14983A03"/>
    <w:rsid w:val="14A90AE0"/>
    <w:rsid w:val="14A979BF"/>
    <w:rsid w:val="14EB1578"/>
    <w:rsid w:val="150D619F"/>
    <w:rsid w:val="159C746C"/>
    <w:rsid w:val="16D74CB7"/>
    <w:rsid w:val="196B7938"/>
    <w:rsid w:val="19BB2713"/>
    <w:rsid w:val="1B4A6873"/>
    <w:rsid w:val="1BC7354C"/>
    <w:rsid w:val="1BE22134"/>
    <w:rsid w:val="1BF70E86"/>
    <w:rsid w:val="1C0D38E3"/>
    <w:rsid w:val="1C6F7740"/>
    <w:rsid w:val="1C830277"/>
    <w:rsid w:val="1CB4154D"/>
    <w:rsid w:val="1CFF1ED8"/>
    <w:rsid w:val="1D247579"/>
    <w:rsid w:val="1F433BFA"/>
    <w:rsid w:val="1F8A1C45"/>
    <w:rsid w:val="1FCA360B"/>
    <w:rsid w:val="202427FD"/>
    <w:rsid w:val="21C640F3"/>
    <w:rsid w:val="2393640A"/>
    <w:rsid w:val="23B819CC"/>
    <w:rsid w:val="23DC1B5F"/>
    <w:rsid w:val="243840DE"/>
    <w:rsid w:val="249C309C"/>
    <w:rsid w:val="255F65A3"/>
    <w:rsid w:val="259A1208"/>
    <w:rsid w:val="25E116AE"/>
    <w:rsid w:val="26467763"/>
    <w:rsid w:val="267B202D"/>
    <w:rsid w:val="276736FF"/>
    <w:rsid w:val="286B4DC6"/>
    <w:rsid w:val="28862099"/>
    <w:rsid w:val="28C36E49"/>
    <w:rsid w:val="28ED40C2"/>
    <w:rsid w:val="29C21CE7"/>
    <w:rsid w:val="29DF675A"/>
    <w:rsid w:val="2A953683"/>
    <w:rsid w:val="2B9669D8"/>
    <w:rsid w:val="2C33078A"/>
    <w:rsid w:val="2C4158BA"/>
    <w:rsid w:val="2CA64BA4"/>
    <w:rsid w:val="2E17386E"/>
    <w:rsid w:val="2E382745"/>
    <w:rsid w:val="2E7530B4"/>
    <w:rsid w:val="2E901FF0"/>
    <w:rsid w:val="2E926CEC"/>
    <w:rsid w:val="30265399"/>
    <w:rsid w:val="30BF439A"/>
    <w:rsid w:val="33D072F4"/>
    <w:rsid w:val="346C4839"/>
    <w:rsid w:val="347C5ACF"/>
    <w:rsid w:val="34B808F7"/>
    <w:rsid w:val="351D59F1"/>
    <w:rsid w:val="355C665B"/>
    <w:rsid w:val="35A02B5B"/>
    <w:rsid w:val="35A7619C"/>
    <w:rsid w:val="35AD72A9"/>
    <w:rsid w:val="364D3F36"/>
    <w:rsid w:val="36617CA1"/>
    <w:rsid w:val="375C1019"/>
    <w:rsid w:val="375D3CE5"/>
    <w:rsid w:val="378213EB"/>
    <w:rsid w:val="37E24618"/>
    <w:rsid w:val="37FF7C7D"/>
    <w:rsid w:val="38264609"/>
    <w:rsid w:val="387463B2"/>
    <w:rsid w:val="38AB6749"/>
    <w:rsid w:val="395D258B"/>
    <w:rsid w:val="399D58B4"/>
    <w:rsid w:val="39BA68AD"/>
    <w:rsid w:val="3A067143"/>
    <w:rsid w:val="3A836438"/>
    <w:rsid w:val="3AC07BF3"/>
    <w:rsid w:val="3AD7265F"/>
    <w:rsid w:val="3B0F4170"/>
    <w:rsid w:val="3B2E0A9A"/>
    <w:rsid w:val="3B38701E"/>
    <w:rsid w:val="3BBF4D0D"/>
    <w:rsid w:val="3DBB08C3"/>
    <w:rsid w:val="3E274D5E"/>
    <w:rsid w:val="3EB25D15"/>
    <w:rsid w:val="3EED5893"/>
    <w:rsid w:val="3F0064BE"/>
    <w:rsid w:val="3F710F55"/>
    <w:rsid w:val="3F8C5694"/>
    <w:rsid w:val="3FED7D16"/>
    <w:rsid w:val="40F938F8"/>
    <w:rsid w:val="42D57D45"/>
    <w:rsid w:val="457B77A9"/>
    <w:rsid w:val="460F3C0A"/>
    <w:rsid w:val="47C57487"/>
    <w:rsid w:val="49521D06"/>
    <w:rsid w:val="49D547D7"/>
    <w:rsid w:val="4A742241"/>
    <w:rsid w:val="4A761B16"/>
    <w:rsid w:val="4ADB7BCB"/>
    <w:rsid w:val="4B146F68"/>
    <w:rsid w:val="4B38501D"/>
    <w:rsid w:val="4BB74194"/>
    <w:rsid w:val="4BE64A79"/>
    <w:rsid w:val="4D330142"/>
    <w:rsid w:val="4DAD3670"/>
    <w:rsid w:val="4DD6360D"/>
    <w:rsid w:val="4E0940F5"/>
    <w:rsid w:val="4E0B21B7"/>
    <w:rsid w:val="4E2D4BE1"/>
    <w:rsid w:val="4E694455"/>
    <w:rsid w:val="4E816F3B"/>
    <w:rsid w:val="4ED24BC6"/>
    <w:rsid w:val="4F1919C6"/>
    <w:rsid w:val="4FB908C6"/>
    <w:rsid w:val="5002561A"/>
    <w:rsid w:val="51416689"/>
    <w:rsid w:val="519311FF"/>
    <w:rsid w:val="528D20F2"/>
    <w:rsid w:val="52A3402B"/>
    <w:rsid w:val="52E53CDC"/>
    <w:rsid w:val="535F13CE"/>
    <w:rsid w:val="54093DF0"/>
    <w:rsid w:val="541859EC"/>
    <w:rsid w:val="54976AF9"/>
    <w:rsid w:val="54BF1926"/>
    <w:rsid w:val="54FF7E78"/>
    <w:rsid w:val="55943798"/>
    <w:rsid w:val="55B92733"/>
    <w:rsid w:val="56A143BE"/>
    <w:rsid w:val="56E32ECE"/>
    <w:rsid w:val="57330254"/>
    <w:rsid w:val="57FF113D"/>
    <w:rsid w:val="58136BF6"/>
    <w:rsid w:val="58555460"/>
    <w:rsid w:val="5875165E"/>
    <w:rsid w:val="58966DE2"/>
    <w:rsid w:val="58EF7663"/>
    <w:rsid w:val="5A3B2734"/>
    <w:rsid w:val="5A6A637E"/>
    <w:rsid w:val="5BBE156E"/>
    <w:rsid w:val="5BFA4E5A"/>
    <w:rsid w:val="5CA72002"/>
    <w:rsid w:val="5D1A5681"/>
    <w:rsid w:val="5D895DE6"/>
    <w:rsid w:val="5E5638E0"/>
    <w:rsid w:val="5F9A5E4E"/>
    <w:rsid w:val="5FB962D5"/>
    <w:rsid w:val="5FCF78A6"/>
    <w:rsid w:val="5FFE1F39"/>
    <w:rsid w:val="603043BD"/>
    <w:rsid w:val="612B4288"/>
    <w:rsid w:val="61A11716"/>
    <w:rsid w:val="61B72287"/>
    <w:rsid w:val="62634C1E"/>
    <w:rsid w:val="63DB021A"/>
    <w:rsid w:val="64D20964"/>
    <w:rsid w:val="654F7759"/>
    <w:rsid w:val="658F338F"/>
    <w:rsid w:val="667411A7"/>
    <w:rsid w:val="66A676F1"/>
    <w:rsid w:val="66C8330B"/>
    <w:rsid w:val="677E1E2C"/>
    <w:rsid w:val="67FC1454"/>
    <w:rsid w:val="68091DC3"/>
    <w:rsid w:val="68200234"/>
    <w:rsid w:val="685635D8"/>
    <w:rsid w:val="68EE3C91"/>
    <w:rsid w:val="699527CE"/>
    <w:rsid w:val="6A0C4C44"/>
    <w:rsid w:val="6A80552A"/>
    <w:rsid w:val="6AAE6D70"/>
    <w:rsid w:val="6AC00D5D"/>
    <w:rsid w:val="6AEF52A0"/>
    <w:rsid w:val="6C057C41"/>
    <w:rsid w:val="6D046742"/>
    <w:rsid w:val="6D7A6C52"/>
    <w:rsid w:val="6D7B106D"/>
    <w:rsid w:val="6DB3786E"/>
    <w:rsid w:val="6DF66946"/>
    <w:rsid w:val="6E396833"/>
    <w:rsid w:val="6E7F4B8D"/>
    <w:rsid w:val="6ECB7DD2"/>
    <w:rsid w:val="6F016A87"/>
    <w:rsid w:val="6F667AFB"/>
    <w:rsid w:val="705F3EC5"/>
    <w:rsid w:val="709D754D"/>
    <w:rsid w:val="713779A1"/>
    <w:rsid w:val="71417942"/>
    <w:rsid w:val="715F4FE5"/>
    <w:rsid w:val="717C53B4"/>
    <w:rsid w:val="71876BF5"/>
    <w:rsid w:val="71C02D4E"/>
    <w:rsid w:val="72253C9E"/>
    <w:rsid w:val="73437E08"/>
    <w:rsid w:val="73610D05"/>
    <w:rsid w:val="73A26443"/>
    <w:rsid w:val="73FA41DD"/>
    <w:rsid w:val="74AC6E5E"/>
    <w:rsid w:val="74E33E56"/>
    <w:rsid w:val="752C70F1"/>
    <w:rsid w:val="754C6AAA"/>
    <w:rsid w:val="75A0260A"/>
    <w:rsid w:val="769E5CA3"/>
    <w:rsid w:val="76C9109B"/>
    <w:rsid w:val="7709593C"/>
    <w:rsid w:val="779A170C"/>
    <w:rsid w:val="787479C0"/>
    <w:rsid w:val="78E528CF"/>
    <w:rsid w:val="78FC2012"/>
    <w:rsid w:val="7A770E0E"/>
    <w:rsid w:val="7A7C01D3"/>
    <w:rsid w:val="7B9551FC"/>
    <w:rsid w:val="7BB70904"/>
    <w:rsid w:val="7BF16049"/>
    <w:rsid w:val="7C1141CE"/>
    <w:rsid w:val="7C257E58"/>
    <w:rsid w:val="7CC8539E"/>
    <w:rsid w:val="7D2043E7"/>
    <w:rsid w:val="7D2325A7"/>
    <w:rsid w:val="7D2573DC"/>
    <w:rsid w:val="7E2C3CBE"/>
    <w:rsid w:val="7E7F2AC1"/>
    <w:rsid w:val="7F5D4E95"/>
    <w:rsid w:val="7F8E086D"/>
    <w:rsid w:val="7FB81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24"/>
      <w:szCs w:val="18"/>
    </w:rPr>
  </w:style>
  <w:style w:type="character" w:customStyle="1" w:styleId="14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2000</Words>
  <Characters>2279</Characters>
  <Lines>1</Lines>
  <Paragraphs>1</Paragraphs>
  <TotalTime>2</TotalTime>
  <ScaleCrop>false</ScaleCrop>
  <LinksUpToDate>false</LinksUpToDate>
  <CharactersWithSpaces>2295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2023-02-24T03:13:17Z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