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汉川鑫胜硅酸盐制品有限公司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汉川市经济开发区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湖北省孝感市汉川市新河镇电厂六号东方红小学旁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陈亮</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13971588862</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1361-2021-QEO-2023</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Q：蒸压加气砌块的生产及销售</w:t>
            </w:r>
          </w:p>
          <w:p>
            <w:pPr>
              <w:rPr>
                <w:sz w:val="20"/>
              </w:rPr>
            </w:pPr>
            <w:r>
              <w:rPr>
                <w:sz w:val="20"/>
              </w:rPr>
              <w:t>E：蒸压加气砌块的生产及销售所涉及场所的相关环境管理活动</w:t>
            </w:r>
          </w:p>
          <w:p>
            <w:pPr>
              <w:rPr>
                <w:sz w:val="20"/>
              </w:rPr>
            </w:pPr>
            <w:r>
              <w:rPr>
                <w:sz w:val="20"/>
              </w:rPr>
              <w:t>O：蒸压加气砌块的生产及销售所涉及场所的相关职业健康安全管理活动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Q：16.02.01</w:t>
            </w:r>
          </w:p>
          <w:p>
            <w:pPr>
              <w:jc w:val="left"/>
              <w:rPr>
                <w:sz w:val="20"/>
              </w:rPr>
            </w:pPr>
            <w:r>
              <w:rPr>
                <w:sz w:val="20"/>
              </w:rPr>
              <w:t>E：16.02.01</w:t>
            </w:r>
          </w:p>
          <w:p>
            <w:pPr>
              <w:jc w:val="left"/>
              <w:rPr>
                <w:sz w:val="20"/>
              </w:rPr>
            </w:pPr>
            <w:r>
              <w:rPr>
                <w:sz w:val="20"/>
              </w:rPr>
              <w:t>O：16.02.01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2023年02月22日 上午至2023年02月23日 上午</w:t>
            </w:r>
            <w:bookmarkEnd w:id="33"/>
            <w:r>
              <w:rPr>
                <w:rFonts w:hint="eastAsia"/>
                <w:b/>
                <w:sz w:val="20"/>
              </w:rPr>
              <w:t>(共</w:t>
            </w:r>
            <w:bookmarkStart w:id="34" w:name="审核天数"/>
            <w:r>
              <w:rPr>
                <w:rFonts w:hint="eastAsia"/>
                <w:b/>
                <w:sz w:val="20"/>
              </w:rPr>
              <w:t>1.5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伍光华</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0"/>
                <w:lang w:val="de-DE"/>
              </w:rPr>
            </w:pPr>
            <w:r>
              <w:rPr>
                <w:sz w:val="20"/>
                <w:lang w:val="de-DE"/>
              </w:rPr>
              <w:t>2020-N1OHSMS-2219448</w:t>
            </w:r>
          </w:p>
        </w:tc>
        <w:tc>
          <w:tcPr>
            <w:tcW w:w="1696" w:type="dxa"/>
            <w:gridSpan w:val="2"/>
            <w:vAlign w:val="center"/>
          </w:tcPr>
          <w:p>
            <w:pPr>
              <w:jc w:val="center"/>
              <w:rPr>
                <w:sz w:val="20"/>
                <w:lang w:val="de-DE"/>
              </w:rPr>
            </w:pPr>
            <w:r>
              <w:rPr>
                <w:sz w:val="20"/>
                <w:lang w:val="de-DE"/>
              </w:rPr>
              <w:t>Q:16.02.01</w:t>
            </w:r>
          </w:p>
          <w:p>
            <w:pPr>
              <w:jc w:val="center"/>
              <w:rPr>
                <w:sz w:val="20"/>
                <w:lang w:val="de-DE"/>
              </w:rPr>
            </w:pPr>
            <w:r>
              <w:rPr>
                <w:sz w:val="20"/>
                <w:lang w:val="de-DE"/>
              </w:rPr>
              <w:t>E:16.02.01</w:t>
            </w:r>
          </w:p>
          <w:p>
            <w:pPr>
              <w:jc w:val="center"/>
              <w:rPr>
                <w:sz w:val="20"/>
                <w:lang w:val="de-DE"/>
              </w:rPr>
            </w:pPr>
            <w:r>
              <w:rPr>
                <w:sz w:val="20"/>
                <w:lang w:val="de-DE"/>
              </w:rPr>
              <w:t>O:16.02.01</w:t>
            </w:r>
          </w:p>
        </w:tc>
        <w:tc>
          <w:tcPr>
            <w:tcW w:w="1299" w:type="dxa"/>
            <w:gridSpan w:val="4"/>
            <w:vAlign w:val="center"/>
          </w:tcPr>
          <w:p>
            <w:pPr>
              <w:jc w:val="center"/>
              <w:rPr>
                <w:sz w:val="20"/>
                <w:lang w:val="de-DE"/>
              </w:rPr>
            </w:pPr>
            <w:r>
              <w:rPr>
                <w:sz w:val="20"/>
                <w:lang w:val="de-DE"/>
              </w:rPr>
              <w:t>13907930788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周文</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sz w:val="20"/>
                <w:lang w:val="de-DE"/>
              </w:rPr>
            </w:pPr>
            <w:r>
              <w:rPr>
                <w:sz w:val="20"/>
                <w:lang w:val="de-DE"/>
              </w:rPr>
              <w:t>2020-N1OHSMS-2226478</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18171336193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伍光华</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13907930788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2023.02.19</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2023.02.19</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r>
              <w:rPr>
                <w:rFonts w:hint="eastAsia"/>
                <w:sz w:val="21"/>
                <w:szCs w:val="21"/>
                <w:lang w:val="en-US" w:eastAsia="zh-CN"/>
              </w:rPr>
              <w:t>2023.02.19</w:t>
            </w: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p>
      <w:pPr>
        <w:spacing w:line="300" w:lineRule="exact"/>
        <w:rPr>
          <w:rFonts w:ascii="宋体" w:hAnsi="宋体"/>
          <w:b/>
          <w:sz w:val="18"/>
          <w:szCs w:val="18"/>
        </w:rPr>
      </w:pPr>
    </w:p>
    <w:tbl>
      <w:tblPr>
        <w:tblStyle w:val="7"/>
        <w:tblW w:w="1018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59"/>
        <w:gridCol w:w="981"/>
        <w:gridCol w:w="58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23"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日期</w:t>
            </w:r>
          </w:p>
        </w:tc>
        <w:tc>
          <w:tcPr>
            <w:tcW w:w="1559"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时间</w:t>
            </w:r>
          </w:p>
        </w:tc>
        <w:tc>
          <w:tcPr>
            <w:tcW w:w="98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w:t>
            </w:r>
          </w:p>
        </w:tc>
        <w:tc>
          <w:tcPr>
            <w:tcW w:w="584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过程、涉及条款</w:t>
            </w:r>
          </w:p>
        </w:tc>
        <w:tc>
          <w:tcPr>
            <w:tcW w:w="778"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w:t>
            </w:r>
            <w:r>
              <w:rPr>
                <w:rFonts w:hint="eastAsia" w:cs="Arial" w:asciiTheme="minorEastAsia" w:hAnsiTheme="minorEastAsia" w:eastAsiaTheme="minorEastAsia"/>
                <w:sz w:val="21"/>
                <w:szCs w:val="21"/>
                <w:lang w:val="en-US" w:eastAsia="zh-CN"/>
              </w:rPr>
              <w:t>3.2.22</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r>
              <w:rPr>
                <w:rFonts w:hint="eastAsia" w:cs="Arial" w:asciiTheme="minorEastAsia" w:hAnsiTheme="minorEastAsia" w:eastAsiaTheme="minorEastAsia"/>
                <w:sz w:val="21"/>
                <w:szCs w:val="21"/>
                <w:lang w:val="en-US" w:eastAsia="zh-CN"/>
              </w:rPr>
              <w:t>9</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jc w:val="left"/>
              <w:rPr>
                <w:rFonts w:cs="Arial" w:asciiTheme="minorEastAsia" w:hAnsiTheme="minorEastAsia" w:eastAsiaTheme="minorEastAsia"/>
                <w:spacing w:val="-6"/>
                <w:sz w:val="21"/>
                <w:szCs w:val="21"/>
              </w:rPr>
            </w:pPr>
            <w:r>
              <w:rPr>
                <w:rFonts w:hint="eastAsia" w:asciiTheme="minorEastAsia" w:hAnsiTheme="minorEastAsia" w:eastAsiaTheme="minorEastAsia"/>
                <w:sz w:val="21"/>
                <w:szCs w:val="21"/>
              </w:rPr>
              <w:t>首次会议</w:t>
            </w:r>
          </w:p>
        </w:tc>
        <w:tc>
          <w:tcPr>
            <w:tcW w:w="778" w:type="dxa"/>
          </w:tcPr>
          <w:p>
            <w:pPr>
              <w:spacing w:line="240" w:lineRule="exact"/>
              <w:jc w:val="center"/>
              <w:rPr>
                <w:rFonts w:hint="default" w:cs="Arial" w:asciiTheme="minorEastAsia" w:hAnsiTheme="minorEastAsia" w:eastAsiaTheme="minorEastAsia"/>
                <w:sz w:val="21"/>
                <w:szCs w:val="21"/>
                <w:lang w:val="en-US"/>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023" w:type="dxa"/>
            <w:vMerge w:val="continue"/>
          </w:tcPr>
          <w:p>
            <w:pPr>
              <w:spacing w:line="240" w:lineRule="exact"/>
              <w:rPr>
                <w:rFonts w:hint="default" w:cs="Arial" w:asciiTheme="minorEastAsia" w:hAnsiTheme="minorEastAsia" w:eastAsiaTheme="minorEastAsia"/>
                <w:sz w:val="21"/>
                <w:szCs w:val="21"/>
                <w:lang w:val="en-US" w:eastAsia="zh-CN"/>
              </w:rPr>
            </w:pPr>
          </w:p>
        </w:tc>
        <w:tc>
          <w:tcPr>
            <w:tcW w:w="1559" w:type="dxa"/>
          </w:tcPr>
          <w:p>
            <w:pPr>
              <w:spacing w:line="240" w:lineRule="exact"/>
              <w:rPr>
                <w:rFonts w:hint="eastAsia"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9</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管理层、员工代表</w:t>
            </w:r>
          </w:p>
          <w:p>
            <w:pPr>
              <w:spacing w:line="300" w:lineRule="exact"/>
              <w:rPr>
                <w:rFonts w:asciiTheme="minorEastAsia" w:hAnsiTheme="minorEastAsia" w:eastAsiaTheme="minorEastAsia"/>
                <w:bCs/>
                <w:sz w:val="21"/>
                <w:szCs w:val="21"/>
              </w:rPr>
            </w:pPr>
          </w:p>
        </w:tc>
        <w:tc>
          <w:tcPr>
            <w:tcW w:w="5841" w:type="dxa"/>
          </w:tcPr>
          <w:p>
            <w:pPr>
              <w:adjustRightInd w:val="0"/>
              <w:snapToGrid w:val="0"/>
              <w:ind w:right="120" w:rightChars="50"/>
              <w:jc w:val="left"/>
              <w:textAlignment w:val="baseline"/>
              <w:rPr>
                <w:rFonts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QEO:</w:t>
            </w:r>
            <w:r>
              <w:rPr>
                <w:rFonts w:hint="eastAsia" w:cs="Arial" w:asciiTheme="minorEastAsia" w:hAnsiTheme="minorEastAsia" w:eastAsiaTheme="minorEastAsia"/>
                <w:spacing w:val="-6"/>
                <w:sz w:val="21"/>
                <w:szCs w:val="21"/>
                <w:u w:val="none"/>
              </w:rPr>
              <w:t>4.1理解组织及其环境、4.2理解相关方的需求和期望、4.3 确定管理体系的范围、4.4质量/环境/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安全管理体系及其过程、5.1领导作用和承诺、5.2质量/环境/</w:t>
            </w:r>
            <w:r>
              <w:rPr>
                <w:rFonts w:hint="eastAsia" w:cs="Arial" w:asciiTheme="minorEastAsia" w:hAnsiTheme="minorEastAsia" w:eastAsiaTheme="minorEastAsia"/>
                <w:sz w:val="21"/>
                <w:szCs w:val="21"/>
                <w:u w:val="none"/>
              </w:rPr>
              <w:t>职业健康</w:t>
            </w:r>
            <w:r>
              <w:rPr>
                <w:rFonts w:hint="eastAsia" w:cs="Arial" w:asciiTheme="minorEastAsia" w:hAnsiTheme="minorEastAsia" w:eastAsiaTheme="minorEastAsia"/>
                <w:spacing w:val="-6"/>
                <w:sz w:val="21"/>
                <w:szCs w:val="21"/>
                <w:u w:val="none"/>
              </w:rPr>
              <w:t>安全方针、5.3组织的岗位、职责和权限、O5.4协商与参与、6.1</w:t>
            </w:r>
            <w:r>
              <w:rPr>
                <w:rFonts w:hint="eastAsia" w:cs="Arial" w:asciiTheme="minorEastAsia" w:hAnsiTheme="minorEastAsia" w:eastAsiaTheme="minorEastAsia"/>
                <w:spacing w:val="-6"/>
                <w:sz w:val="21"/>
                <w:szCs w:val="21"/>
              </w:rPr>
              <w:t>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安全目标及其实现的策划、Q6.3变更的策划、9.3管理评审、10.1改进、10.3持续改进。</w:t>
            </w:r>
          </w:p>
          <w:p>
            <w:pPr>
              <w:spacing w:line="300" w:lineRule="exact"/>
              <w:rPr>
                <w:rFonts w:asciiTheme="minorEastAsia" w:hAnsiTheme="minorEastAsia" w:eastAsiaTheme="minorEastAsia"/>
                <w:sz w:val="21"/>
                <w:szCs w:val="21"/>
              </w:rPr>
            </w:pPr>
            <w:r>
              <w:rPr>
                <w:rFonts w:hint="eastAsia" w:ascii="宋体" w:hAnsi="宋体" w:eastAsia="宋体" w:cs="宋体"/>
                <w:b w:val="0"/>
                <w:bCs w:val="0"/>
                <w:spacing w:val="-6"/>
                <w:sz w:val="21"/>
                <w:szCs w:val="21"/>
              </w:rPr>
              <w:t>国家/地方监督抽查情况；顾客满意、相关方投诉及处理情况；标准/规范/法规的执行情况、上次审核不符合项的验证、认证证书、标志的使用情况、投诉或事故、监督抽查情况、体系变动</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23" w:type="dxa"/>
            <w:vMerge w:val="continue"/>
            <w:vAlign w:val="top"/>
          </w:tcPr>
          <w:p>
            <w:pPr>
              <w:spacing w:line="240" w:lineRule="exact"/>
              <w:rPr>
                <w:rFonts w:hint="default" w:cs="Arial" w:asciiTheme="minorEastAsia" w:hAnsiTheme="minorEastAsia" w:eastAsiaTheme="minorEastAsia"/>
                <w:sz w:val="21"/>
                <w:szCs w:val="21"/>
                <w:lang w:val="en-US" w:eastAsia="zh-CN"/>
              </w:rPr>
            </w:pPr>
          </w:p>
        </w:tc>
        <w:tc>
          <w:tcPr>
            <w:tcW w:w="1559" w:type="dxa"/>
            <w:vAlign w:val="top"/>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hint="default" w:cs="Arial" w:asciiTheme="minorEastAsia" w:hAnsiTheme="minorEastAsia" w:eastAsiaTheme="minorEastAsia"/>
                <w:sz w:val="21"/>
                <w:szCs w:val="21"/>
                <w:lang w:val="en-US" w:eastAsia="zh-CN"/>
              </w:rPr>
            </w:pPr>
          </w:p>
        </w:tc>
        <w:tc>
          <w:tcPr>
            <w:tcW w:w="981" w:type="dxa"/>
            <w:vAlign w:val="top"/>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vAlign w:val="top"/>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QMS:5.3组织的岗位、职责和权限、6.2质量目标、8.1运行策划和控制、8.3产品和服务的设计和开发不适用确认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和服务提供的控制8.5.2产品标识和可追朔性、8.5.4产品防护、8.6产品和服务的放行8.7不合格输出的控制10.2不符合/事件和纠正措施</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val="en-US" w:eastAsia="zh-CN"/>
              </w:rPr>
              <w:t>9</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val="en-US" w:eastAsia="zh-CN"/>
              </w:rPr>
            </w:pPr>
          </w:p>
        </w:tc>
        <w:tc>
          <w:tcPr>
            <w:tcW w:w="981" w:type="dxa"/>
            <w:vAlign w:val="top"/>
          </w:tcPr>
          <w:p>
            <w:pPr>
              <w:spacing w:line="300" w:lineRule="exact"/>
              <w:rPr>
                <w:rFonts w:hint="default" w:cs="Arial" w:asciiTheme="minorEastAsia" w:hAnsiTheme="minorEastAsia" w:eastAsiaTheme="minorEastAsia"/>
                <w:sz w:val="21"/>
                <w:szCs w:val="21"/>
                <w:lang w:val="en-US" w:eastAsia="zh-CN"/>
              </w:rPr>
            </w:pPr>
            <w:r>
              <w:rPr>
                <w:rFonts w:hint="eastAsia" w:asciiTheme="minorEastAsia" w:hAnsiTheme="minorEastAsia" w:eastAsiaTheme="minorEastAsia"/>
                <w:bCs/>
                <w:sz w:val="21"/>
                <w:szCs w:val="21"/>
                <w:lang w:val="en-US" w:eastAsia="zh-CN"/>
              </w:rPr>
              <w:t>综合管理部</w:t>
            </w:r>
          </w:p>
        </w:tc>
        <w:tc>
          <w:tcPr>
            <w:tcW w:w="5841" w:type="dxa"/>
            <w:vAlign w:val="top"/>
          </w:tcPr>
          <w:p>
            <w:pPr>
              <w:adjustRightInd w:val="0"/>
              <w:snapToGrid w:val="0"/>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QMS: 5.3组织的岗位、职责和权限、6.2质量目标、</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spacing w:line="30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u w:val="none"/>
              </w:rPr>
              <w:t>E/OMS: 5.3组织的岗位、职责和权限、6.2.1环境/职业健康安全目标、6.2.2实现环境/职业健康安全目标措施的策划</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9.2 内部审核、10.2不符合/事件和纠正措施，</w:t>
            </w:r>
          </w:p>
        </w:tc>
        <w:tc>
          <w:tcPr>
            <w:tcW w:w="778" w:type="dxa"/>
          </w:tcPr>
          <w:p>
            <w:pPr>
              <w:spacing w:line="240" w:lineRule="exact"/>
              <w:ind w:firstLine="210" w:firstLineChars="100"/>
              <w:rPr>
                <w:rFonts w:hint="eastAsia" w:cs="Arial" w:asciiTheme="minorEastAsia" w:hAnsiTheme="minorEastAsia" w:eastAsiaTheme="minorEastAsia"/>
                <w:sz w:val="21"/>
                <w:szCs w:val="21"/>
                <w:u w:val="single"/>
                <w:lang w:eastAsia="zh-CN"/>
              </w:rPr>
            </w:pPr>
            <w:r>
              <w:rPr>
                <w:rFonts w:hint="eastAsia" w:cs="Arial" w:asciiTheme="minorEastAsia" w:hAnsiTheme="minorEastAsia" w:eastAsiaTheme="minorEastAsia"/>
                <w:sz w:val="21"/>
                <w:szCs w:val="21"/>
                <w:u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val="en-US" w:eastAsia="zh-CN"/>
              </w:rPr>
            </w:pPr>
          </w:p>
        </w:tc>
        <w:tc>
          <w:tcPr>
            <w:tcW w:w="981" w:type="dxa"/>
            <w:vAlign w:val="top"/>
          </w:tcPr>
          <w:p>
            <w:pPr>
              <w:spacing w:line="300" w:lineRule="exact"/>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综合管理部</w:t>
            </w:r>
          </w:p>
        </w:tc>
        <w:tc>
          <w:tcPr>
            <w:tcW w:w="5841" w:type="dxa"/>
            <w:vAlign w:val="top"/>
          </w:tcPr>
          <w:p>
            <w:pPr>
              <w:spacing w:line="300" w:lineRule="exact"/>
              <w:rPr>
                <w:rFonts w:hint="eastAsia" w:cs="Arial" w:asciiTheme="minorEastAsia" w:hAnsiTheme="minorEastAsia" w:eastAsiaTheme="minorEastAsia"/>
                <w:sz w:val="21"/>
                <w:szCs w:val="21"/>
                <w:u w:val="none"/>
              </w:rPr>
            </w:pPr>
            <w:r>
              <w:rPr>
                <w:rFonts w:hint="eastAsia" w:cs="Arial" w:asciiTheme="minorEastAsia" w:hAnsiTheme="minorEastAsia" w:eastAsiaTheme="minorEastAsia"/>
                <w:sz w:val="21"/>
                <w:szCs w:val="21"/>
                <w:u w:val="none"/>
              </w:rPr>
              <w:t>E/OMS:6.1.2环境因素/危险源的辨识与评价、6.1.3合规义务、6.1.4措施的策划、8.1运行策划和控制、9.1监视、测量、分析和评价（9.1.1总则、9.1.2合规性评价）、8.2应急准备和响应。</w:t>
            </w:r>
          </w:p>
        </w:tc>
        <w:tc>
          <w:tcPr>
            <w:tcW w:w="778" w:type="dxa"/>
          </w:tcPr>
          <w:p>
            <w:pPr>
              <w:spacing w:line="240" w:lineRule="exact"/>
              <w:ind w:firstLine="210" w:firstLineChars="100"/>
              <w:rPr>
                <w:rFonts w:hint="default" w:cs="Arial" w:asciiTheme="minorEastAsia" w:hAnsiTheme="minorEastAsia" w:eastAsiaTheme="minorEastAsia"/>
                <w:sz w:val="21"/>
                <w:szCs w:val="21"/>
                <w:u w:val="none"/>
                <w:lang w:val="en-US" w:eastAsia="zh-CN"/>
              </w:rPr>
            </w:pPr>
            <w:r>
              <w:rPr>
                <w:rFonts w:hint="eastAsia" w:cs="Arial" w:asciiTheme="minorEastAsia" w:hAnsiTheme="minorEastAsia" w:eastAsiaTheme="minorEastAsia"/>
                <w:sz w:val="21"/>
                <w:szCs w:val="21"/>
                <w:u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023" w:type="dxa"/>
            <w:vMerge w:val="continue"/>
          </w:tcPr>
          <w:p>
            <w:pPr>
              <w:adjustRightInd w:val="0"/>
              <w:snapToGrid w:val="0"/>
              <w:spacing w:line="320" w:lineRule="exact"/>
              <w:ind w:right="120" w:rightChars="50"/>
              <w:jc w:val="left"/>
              <w:textAlignment w:val="baseline"/>
              <w:rPr>
                <w:rFonts w:hint="default" w:eastAsia="宋体"/>
                <w:lang w:val="en-US" w:eastAsia="zh-CN"/>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adjustRightInd w:val="0"/>
              <w:snapToGrid w:val="0"/>
              <w:spacing w:line="320" w:lineRule="exact"/>
              <w:ind w:right="120" w:rightChars="50"/>
              <w:jc w:val="left"/>
              <w:textAlignment w:val="baseline"/>
            </w:pPr>
          </w:p>
        </w:tc>
        <w:tc>
          <w:tcPr>
            <w:tcW w:w="981" w:type="dxa"/>
          </w:tcPr>
          <w:p>
            <w:pPr>
              <w:adjustRightInd w:val="0"/>
              <w:snapToGrid w:val="0"/>
              <w:spacing w:line="320" w:lineRule="exact"/>
              <w:ind w:right="120" w:rightChars="50"/>
              <w:jc w:val="left"/>
              <w:textAlignment w:val="baseline"/>
              <w:rPr>
                <w:rFonts w:hint="default" w:eastAsia="宋体"/>
                <w:lang w:val="en-US" w:eastAsia="zh-CN"/>
              </w:rPr>
            </w:pPr>
            <w:r>
              <w:rPr>
                <w:rFonts w:hint="eastAsia"/>
                <w:sz w:val="21"/>
                <w:szCs w:val="21"/>
                <w:lang w:val="en-US" w:eastAsia="zh-CN"/>
              </w:rPr>
              <w:t>销售部</w:t>
            </w:r>
          </w:p>
        </w:tc>
        <w:tc>
          <w:tcPr>
            <w:tcW w:w="5841" w:type="dxa"/>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u w:val="none"/>
              </w:rPr>
            </w:pPr>
            <w:r>
              <w:rPr>
                <w:rFonts w:hint="eastAsia" w:cs="Arial" w:asciiTheme="minorEastAsia" w:hAnsiTheme="minorEastAsia" w:eastAsiaTheme="minorEastAsia"/>
                <w:sz w:val="21"/>
                <w:szCs w:val="21"/>
                <w:u w:val="none"/>
              </w:rPr>
              <w:t>QMS:5.3组织的岗位、职责和权限、6.2质量目标、8.2产品和服务的要求、8.4外部提供过程</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8.5.1销售和服务提供的控制、8.5.3顾客或外部供方的财产、8.5.5交付后的活动、8.5.6销售和服务提供的更改控制</w:t>
            </w:r>
            <w:r>
              <w:rPr>
                <w:rFonts w:hint="eastAsia" w:cs="Arial" w:asciiTheme="minorEastAsia" w:hAnsiTheme="minorEastAsia" w:eastAsiaTheme="minorEastAsia"/>
                <w:sz w:val="21"/>
                <w:szCs w:val="21"/>
                <w:u w:val="none"/>
                <w:lang w:eastAsia="zh-CN"/>
              </w:rPr>
              <w:t>、</w:t>
            </w:r>
            <w:r>
              <w:rPr>
                <w:rFonts w:hint="eastAsia" w:cs="Arial" w:asciiTheme="minorEastAsia" w:hAnsiTheme="minorEastAsia" w:eastAsiaTheme="minorEastAsia"/>
                <w:sz w:val="21"/>
                <w:szCs w:val="21"/>
                <w:u w:val="none"/>
              </w:rPr>
              <w:t>9.1.2顾客满意</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u w:val="none"/>
              </w:rPr>
            </w:pPr>
            <w:r>
              <w:rPr>
                <w:rFonts w:hint="eastAsia" w:cs="Arial" w:asciiTheme="minorEastAsia" w:hAnsiTheme="minorEastAsia" w:eastAsiaTheme="minorEastAsia"/>
                <w:sz w:val="21"/>
                <w:szCs w:val="21"/>
                <w:u w:val="none"/>
              </w:rPr>
              <w:t>E/OMS: 5.3组织的岗位、职责和权限、6.2环境与职业健康安全目标、6.1.2环境因素/危险源辨识与评价、8.1运行策划和控制、8.2应急准备和响应</w:t>
            </w:r>
          </w:p>
        </w:tc>
        <w:tc>
          <w:tcPr>
            <w:tcW w:w="778" w:type="dxa"/>
          </w:tcPr>
          <w:p>
            <w:pPr>
              <w:adjustRightInd w:val="0"/>
              <w:snapToGrid w:val="0"/>
              <w:spacing w:line="320" w:lineRule="exact"/>
              <w:ind w:right="120" w:rightChars="50"/>
              <w:jc w:val="left"/>
              <w:textAlignment w:val="baseline"/>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B</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2023.2.23</w:t>
            </w:r>
          </w:p>
        </w:tc>
        <w:tc>
          <w:tcPr>
            <w:tcW w:w="1559"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继续审核生产部</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继续审核销售部</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补充及跟踪审核：必要部门、必要条款；</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jc w:val="center"/>
              <w:rPr>
                <w:rFonts w:cs="Arial" w:asciiTheme="minorEastAsia" w:hAnsiTheme="minorEastAsia" w:eastAsiaTheme="minorEastAsia"/>
                <w:sz w:val="21"/>
                <w:szCs w:val="21"/>
              </w:rPr>
            </w:pPr>
          </w:p>
        </w:tc>
        <w:tc>
          <w:tcPr>
            <w:tcW w:w="6822" w:type="dxa"/>
            <w:gridSpan w:val="2"/>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审核组内部沟通；审核组与受审核方领导层沟通；</w:t>
            </w:r>
          </w:p>
          <w:p>
            <w:pPr>
              <w:spacing w:line="28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末次会：综合评价QMS\EMS\OHSMS管理体系运行总体情况及改进要求，宣告审核发现及审核结论。</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18AD5166"/>
    <w:rsid w:val="43E728A6"/>
    <w:rsid w:val="4AF31FAE"/>
    <w:rsid w:val="6ACA72F1"/>
    <w:rsid w:val="6C885AD4"/>
    <w:rsid w:val="72534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2185</Words>
  <Characters>3116</Characters>
  <Lines>37</Lines>
  <Paragraphs>10</Paragraphs>
  <TotalTime>1</TotalTime>
  <ScaleCrop>false</ScaleCrop>
  <LinksUpToDate>false</LinksUpToDate>
  <CharactersWithSpaces>3180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伍光华</cp:lastModifiedBy>
  <dcterms:modified xsi:type="dcterms:W3CDTF">2023-02-22T07:22:08Z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