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0175-2021-QEO-2023</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杭州百诺电力科技有限公司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文波</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Q:ISC-Q-2021-1416,E:ISC-E-2021-0973,O:ISC-O-2021-0903</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91330183691733755Q</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bookmarkStart w:id="5" w:name="认可标志"/>
            <w:r>
              <w:rPr>
                <w:rFonts w:hint="eastAsia"/>
                <w:sz w:val="22"/>
                <w:szCs w:val="22"/>
              </w:rPr>
              <w:t>Q:未认可,E:未认可,O:未认可</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  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危害分析与关键控制点（HACCP）体系认证要求（V1.0）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3" w:name="体系人数"/>
            <w:r>
              <w:rPr>
                <w:sz w:val="22"/>
                <w:szCs w:val="22"/>
              </w:rPr>
              <w:t>Q:34,E:34,O:34</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pacing w:val="-2"/>
                <w:sz w:val="21"/>
                <w:szCs w:val="21"/>
              </w:rPr>
              <w:t>■</w:t>
            </w:r>
            <w:r>
              <w:rPr>
                <w:rFonts w:hint="eastAsia"/>
                <w:b/>
                <w:color w:val="000000" w:themeColor="text1"/>
                <w:sz w:val="22"/>
                <w:szCs w:val="22"/>
              </w:rPr>
              <w:t>地址变更</w:t>
            </w:r>
            <w:r>
              <w:rPr>
                <w:rFonts w:hint="eastAsia"/>
                <w:b/>
                <w:color w:val="000000" w:themeColor="text1"/>
                <w:spacing w:val="-2"/>
                <w:sz w:val="21"/>
                <w:szCs w:val="21"/>
              </w:rPr>
              <w:t>■</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pStyle w:val="13"/>
              <w:ind w:left="0" w:firstLine="4096" w:firstLineChars="1700"/>
              <w:rPr>
                <w:bCs/>
                <w:color w:val="4F81BD" w:themeColor="accent1"/>
                <w:sz w:val="24"/>
                <w:szCs w:val="24"/>
              </w:rPr>
            </w:pPr>
            <w:r>
              <w:rPr>
                <w:rFonts w:hint="eastAsia"/>
                <w:bCs/>
                <w:color w:val="4F81BD" w:themeColor="accent1"/>
                <w:sz w:val="24"/>
                <w:szCs w:val="24"/>
              </w:rPr>
              <w:t>申   请</w:t>
            </w:r>
          </w:p>
          <w:p>
            <w:pPr>
              <w:pStyle w:val="13"/>
              <w:ind w:left="0"/>
              <w:rPr>
                <w:rFonts w:ascii="宋体" w:hAnsi="宋体" w:cs="宋体"/>
                <w:bCs/>
                <w:color w:val="4F81BD" w:themeColor="accent1"/>
                <w:sz w:val="22"/>
                <w:szCs w:val="22"/>
              </w:rPr>
            </w:pPr>
            <w:r>
              <w:rPr>
                <w:rFonts w:hint="eastAsia"/>
                <w:color w:val="000000" w:themeColor="text1"/>
                <w:spacing w:val="-2"/>
                <w:sz w:val="21"/>
                <w:szCs w:val="21"/>
              </w:rPr>
              <w:t>■</w:t>
            </w:r>
            <w:r>
              <w:rPr>
                <w:rFonts w:hint="eastAsia" w:ascii="宋体" w:hAnsi="宋体" w:cs="宋体"/>
                <w:bCs/>
                <w:color w:val="4F81BD" w:themeColor="accent1"/>
                <w:sz w:val="22"/>
                <w:szCs w:val="22"/>
              </w:rPr>
              <w:t xml:space="preserve"> 公司因投招标使用，需证书里的产品/服务内容一致</w:t>
            </w:r>
          </w:p>
          <w:p>
            <w:pPr>
              <w:pStyle w:val="13"/>
              <w:ind w:left="0"/>
              <w:rPr>
                <w:rFonts w:ascii="宋体" w:hAnsi="宋体" w:cs="宋体"/>
                <w:bCs/>
                <w:color w:val="4F81BD" w:themeColor="accent1"/>
                <w:sz w:val="22"/>
                <w:szCs w:val="22"/>
              </w:rPr>
            </w:pPr>
            <w:r>
              <w:rPr>
                <w:rFonts w:hint="eastAsia" w:ascii="宋体" w:hAnsi="宋体" w:cs="宋体"/>
                <w:bCs/>
                <w:color w:val="4F81BD" w:themeColor="accent1"/>
                <w:sz w:val="22"/>
                <w:szCs w:val="22"/>
              </w:rPr>
              <w:t>□ 公司需与其它体系或服务认证证书中的产品/服务范围表述一致，便于统一管理，统一招投标使用</w:t>
            </w:r>
          </w:p>
          <w:p>
            <w:pPr>
              <w:pStyle w:val="13"/>
              <w:ind w:left="0"/>
              <w:rPr>
                <w:rFonts w:ascii="宋体" w:hAnsi="宋体" w:cs="宋体"/>
                <w:bCs/>
                <w:color w:val="4F81BD" w:themeColor="accent1"/>
                <w:sz w:val="22"/>
                <w:szCs w:val="22"/>
              </w:rPr>
            </w:pPr>
            <w:r>
              <w:rPr>
                <w:rFonts w:hint="eastAsia" w:ascii="宋体" w:hAnsi="宋体" w:cs="宋体"/>
                <w:bCs/>
                <w:color w:val="4F81BD" w:themeColor="accent1"/>
                <w:sz w:val="22"/>
                <w:szCs w:val="22"/>
              </w:rPr>
              <w:t>□ 需与原获证证书范围一致，以便于统一管理。</w:t>
            </w:r>
          </w:p>
          <w:p>
            <w:pPr>
              <w:pStyle w:val="13"/>
              <w:ind w:left="0"/>
              <w:rPr>
                <w:rFonts w:ascii="宋体" w:hAnsi="宋体" w:cs="宋体"/>
                <w:bCs/>
                <w:color w:val="4F81BD" w:themeColor="accent1"/>
                <w:sz w:val="22"/>
                <w:szCs w:val="22"/>
              </w:rPr>
            </w:pPr>
          </w:p>
          <w:p>
            <w:pPr>
              <w:pStyle w:val="13"/>
              <w:ind w:left="0"/>
              <w:rPr>
                <w:rFonts w:ascii="宋体" w:hAnsi="宋体" w:cs="宋体"/>
                <w:bCs/>
                <w:color w:val="4F81BD" w:themeColor="accent1"/>
                <w:sz w:val="22"/>
                <w:szCs w:val="22"/>
              </w:rPr>
            </w:pPr>
            <w:r>
              <w:rPr>
                <w:rFonts w:hint="eastAsia" w:ascii="宋体" w:hAnsi="宋体" w:cs="宋体"/>
                <w:bCs/>
                <w:color w:val="4F81BD" w:themeColor="accent1"/>
                <w:sz w:val="22"/>
                <w:szCs w:val="22"/>
              </w:rPr>
              <w:t>特申请QMS为一张证书，无CNAS认可标志。</w:t>
            </w:r>
            <w:bookmarkStart w:id="20" w:name="_GoBack"/>
            <w:bookmarkEnd w:id="20"/>
          </w:p>
          <w:p>
            <w:pPr>
              <w:pStyle w:val="2"/>
              <w:spacing w:line="360" w:lineRule="exact"/>
              <w:ind w:firstLine="0"/>
              <w:rPr>
                <w:b/>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8" w:name="组织名称Add1"/>
            <w:r>
              <w:rPr>
                <w:rFonts w:hint="eastAsia"/>
                <w:sz w:val="22"/>
                <w:szCs w:val="22"/>
              </w:rPr>
              <w:t>杭州百诺电力科技有限公司</w:t>
            </w:r>
            <w:bookmarkEnd w:id="18"/>
          </w:p>
        </w:tc>
        <w:tc>
          <w:tcPr>
            <w:tcW w:w="5013" w:type="dxa"/>
            <w:gridSpan w:val="4"/>
            <w:vMerge w:val="restart"/>
          </w:tcPr>
          <w:p>
            <w:pPr>
              <w:snapToGrid w:val="0"/>
              <w:spacing w:line="0" w:lineRule="atLeast"/>
              <w:jc w:val="left"/>
              <w:rPr>
                <w:sz w:val="22"/>
                <w:szCs w:val="22"/>
              </w:rPr>
            </w:pPr>
            <w:r>
              <w:rPr>
                <w:rFonts w:hint="eastAsia"/>
                <w:sz w:val="22"/>
                <w:szCs w:val="22"/>
              </w:rPr>
              <w:t>Q：市政用塑料管、通信管、电力管的生产及玻璃钢管的销售</w:t>
            </w:r>
          </w:p>
          <w:p>
            <w:pPr>
              <w:snapToGrid w:val="0"/>
              <w:spacing w:line="0" w:lineRule="atLeast"/>
              <w:jc w:val="left"/>
              <w:rPr>
                <w:rFonts w:hint="eastAsia"/>
                <w:sz w:val="22"/>
                <w:szCs w:val="22"/>
              </w:rPr>
            </w:pPr>
            <w:r>
              <w:rPr>
                <w:rFonts w:hint="eastAsia"/>
                <w:sz w:val="22"/>
                <w:szCs w:val="22"/>
              </w:rPr>
              <w:t>E：市政用塑料管、通信管、电力管的生产及玻璃钢管的销售所涉及场所的相关环境管理活动</w:t>
            </w:r>
          </w:p>
          <w:p>
            <w:pPr>
              <w:snapToGrid w:val="0"/>
              <w:spacing w:line="0" w:lineRule="atLeast"/>
              <w:jc w:val="left"/>
              <w:rPr>
                <w:sz w:val="22"/>
                <w:szCs w:val="22"/>
              </w:rPr>
            </w:pPr>
            <w:r>
              <w:rPr>
                <w:rFonts w:hint="eastAsia"/>
                <w:sz w:val="22"/>
                <w:szCs w:val="22"/>
              </w:rPr>
              <w:t>O：市政用塑料管、通信管、电力管的生产及玻璃钢管的销售所涉及场所的相关职业健康安全管理活动。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浙江省杭州市富阳区春江街道太平村黄砂墩路108号2幢</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r>
              <w:rPr>
                <w:rFonts w:hint="eastAsia"/>
                <w:sz w:val="22"/>
                <w:szCs w:val="22"/>
                <w:lang w:val="en-GB"/>
              </w:rPr>
              <w:t>浙江省杭州市富阳区春江街道太平村黄砂墩路108号2幢</w:t>
            </w:r>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Hangzhou Bainuo Power Technology Co.,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Production of municipal plastic pipes, communication pipes and power pipes and sales of glass fiber reinforced plastic pipes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r>
              <w:rPr>
                <w:rFonts w:hint="eastAsia"/>
                <w:sz w:val="21"/>
                <w:szCs w:val="16"/>
              </w:rPr>
              <w:t>Relevant environmental management activities of the places involved in the production of municipal plastic pipes, communication pipes and power pipes and the sales of glass fiber reinforced plastic pipes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hint="eastAsia" w:cs="Arial"/>
                <w:b/>
                <w:bCs/>
                <w:sz w:val="22"/>
                <w:szCs w:val="16"/>
              </w:rPr>
              <w:t>Building 2, No. 108, Huangshadun Road, Taiping Village, Chunjiang Street, Fuyang District, Hangzhou City, Zhejiang Province</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r>
              <w:rPr>
                <w:rFonts w:hint="eastAsia"/>
                <w:sz w:val="22"/>
                <w:szCs w:val="22"/>
              </w:rPr>
              <w:t>Relevant occupational health and safety management activities of the places involved in the production of municipal plastic pipes, communication pipes and power pipes and the sales of glass fiber reinforced plastic pipes.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hint="eastAsia" w:cs="Arial"/>
                <w:b/>
                <w:bCs/>
                <w:sz w:val="22"/>
                <w:szCs w:val="16"/>
              </w:rPr>
              <w:t>Building 2, No. 108, Huangshadun Road, Taiping Village, Chunjiang Street, Fuyang District, Hangzhou City, Zhejiang Province</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文本框 1" o:spid="_x0000_s3073"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gzZjZmNmFlNmZlOWM5MjIwZWI1ODI3ODVkMTc4NGYifQ=="/>
  </w:docVars>
  <w:rsids>
    <w:rsidRoot w:val="00971E65"/>
    <w:rsid w:val="00407E11"/>
    <w:rsid w:val="0084766B"/>
    <w:rsid w:val="00971E65"/>
    <w:rsid w:val="137400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字符"/>
    <w:basedOn w:val="7"/>
    <w:link w:val="2"/>
    <w:qFormat/>
    <w:uiPriority w:val="0"/>
    <w:rPr>
      <w:rFonts w:ascii="Times New Roman" w:hAnsi="Times New Roman" w:eastAsia="宋体" w:cs="Times New Roman"/>
      <w:sz w:val="32"/>
      <w:szCs w:val="20"/>
    </w:rPr>
  </w:style>
  <w:style w:type="character" w:customStyle="1" w:styleId="9">
    <w:name w:val="页眉 字符"/>
    <w:basedOn w:val="7"/>
    <w:link w:val="4"/>
    <w:qFormat/>
    <w:uiPriority w:val="99"/>
    <w:rPr>
      <w:rFonts w:ascii="Times New Roman" w:hAnsi="Times New Roman" w:eastAsia="宋体" w:cs="Times New Roman"/>
      <w:sz w:val="18"/>
      <w:szCs w:val="18"/>
    </w:rPr>
  </w:style>
  <w:style w:type="character" w:customStyle="1" w:styleId="10">
    <w:name w:val="页脚 字符"/>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928</Words>
  <Characters>1443</Characters>
  <Lines>12</Lines>
  <Paragraphs>3</Paragraphs>
  <TotalTime>9</TotalTime>
  <ScaleCrop>false</ScaleCrop>
  <LinksUpToDate>false</LinksUpToDate>
  <CharactersWithSpaces>1610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cp:lastModifiedBy>
  <cp:lastPrinted>2019-05-13T03:13:00Z</cp:lastPrinted>
  <dcterms:modified xsi:type="dcterms:W3CDTF">2023-02-21T01:21:18Z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