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1882"/>
        <w:gridCol w:w="1238"/>
        <w:gridCol w:w="1065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15" w:hRule="atLeast"/>
        </w:trPr>
        <w:tc>
          <w:tcPr>
            <w:tcW w:w="188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0" w:type="dxa"/>
            <w:vAlign w:val="center"/>
          </w:tcPr>
          <w:p>
            <w:pPr>
              <w:rPr>
                <w:sz w:val="24"/>
                <w:szCs w:val="24"/>
              </w:rPr>
            </w:pPr>
            <w:r>
              <w:rPr>
                <w:rFonts w:hint="eastAsia"/>
                <w:sz w:val="24"/>
                <w:szCs w:val="24"/>
              </w:rPr>
              <w:t>受审核部门：管理层、安全事务代表</w:t>
            </w:r>
            <w:r>
              <w:rPr>
                <w:rFonts w:hint="eastAsia"/>
                <w:sz w:val="24"/>
                <w:szCs w:val="24"/>
                <w:lang w:val="en-US" w:eastAsia="zh-CN"/>
              </w:rPr>
              <w:t xml:space="preserve">          </w:t>
            </w:r>
            <w:r>
              <w:rPr>
                <w:rFonts w:hint="eastAsia"/>
                <w:sz w:val="24"/>
                <w:szCs w:val="24"/>
              </w:rPr>
              <w:t>主管领导：卢龙兵</w:t>
            </w:r>
            <w:r>
              <w:rPr>
                <w:rFonts w:hint="eastAsia"/>
                <w:sz w:val="24"/>
                <w:szCs w:val="24"/>
                <w:lang w:val="en-US" w:eastAsia="zh-CN"/>
              </w:rPr>
              <w:t xml:space="preserve">      </w:t>
            </w:r>
            <w:r>
              <w:rPr>
                <w:rFonts w:hint="eastAsia"/>
                <w:sz w:val="24"/>
                <w:szCs w:val="24"/>
              </w:rPr>
              <w:t>陪同人员：谭江洪</w:t>
            </w:r>
          </w:p>
        </w:tc>
        <w:tc>
          <w:tcPr>
            <w:tcW w:w="9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03" w:hRule="atLeast"/>
        </w:trPr>
        <w:tc>
          <w:tcPr>
            <w:tcW w:w="1882" w:type="dxa"/>
            <w:vMerge w:val="continue"/>
            <w:vAlign w:val="center"/>
          </w:tcPr>
          <w:p/>
        </w:tc>
        <w:tc>
          <w:tcPr>
            <w:tcW w:w="1238" w:type="dxa"/>
            <w:vMerge w:val="continue"/>
            <w:vAlign w:val="center"/>
          </w:tcPr>
          <w:p/>
        </w:tc>
        <w:tc>
          <w:tcPr>
            <w:tcW w:w="10650" w:type="dxa"/>
            <w:vAlign w:val="center"/>
          </w:tcPr>
          <w:p>
            <w:pPr>
              <w:spacing w:before="120"/>
            </w:pPr>
            <w:r>
              <w:rPr>
                <w:rFonts w:hint="eastAsia"/>
                <w:sz w:val="24"/>
                <w:szCs w:val="24"/>
              </w:rPr>
              <w:t>审核员：</w:t>
            </w:r>
            <w:bookmarkStart w:id="0" w:name="审核组成员不含组长"/>
            <w:bookmarkEnd w:id="0"/>
            <w:r>
              <w:rPr>
                <w:rFonts w:hint="eastAsia"/>
                <w:sz w:val="24"/>
                <w:szCs w:val="24"/>
                <w:lang w:eastAsia="zh-CN"/>
              </w:rPr>
              <w:t>褚敏杰</w:t>
            </w:r>
            <w:r>
              <w:rPr>
                <w:rFonts w:hint="eastAsia"/>
                <w:sz w:val="24"/>
                <w:szCs w:val="24"/>
                <w:lang w:val="en-US" w:eastAsia="zh-CN"/>
              </w:rPr>
              <w:t xml:space="preserve">                            </w:t>
            </w:r>
            <w:r>
              <w:rPr>
                <w:rFonts w:hint="eastAsia" w:ascii="Times New Roman" w:hAnsi="Times New Roman" w:eastAsia="宋体" w:cs="Times New Roman"/>
                <w:sz w:val="24"/>
                <w:szCs w:val="24"/>
              </w:rPr>
              <w:t>审核时间：</w:t>
            </w:r>
            <w:bookmarkStart w:id="1" w:name="审核日期"/>
            <w:r>
              <w:rPr>
                <w:rFonts w:hint="eastAsia" w:ascii="Times New Roman" w:hAnsi="Times New Roman" w:eastAsia="宋体" w:cs="Times New Roman"/>
                <w:sz w:val="24"/>
                <w:szCs w:val="24"/>
              </w:rPr>
              <w:t>2023年02月18日</w:t>
            </w:r>
            <w:bookmarkEnd w:id="1"/>
          </w:p>
        </w:tc>
        <w:tc>
          <w:tcPr>
            <w:tcW w:w="9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16" w:hRule="atLeast"/>
        </w:trPr>
        <w:tc>
          <w:tcPr>
            <w:tcW w:w="1882" w:type="dxa"/>
            <w:vMerge w:val="continue"/>
            <w:vAlign w:val="center"/>
          </w:tcPr>
          <w:p/>
        </w:tc>
        <w:tc>
          <w:tcPr>
            <w:tcW w:w="1238" w:type="dxa"/>
            <w:vMerge w:val="continue"/>
            <w:vAlign w:val="center"/>
          </w:tcPr>
          <w:p/>
        </w:tc>
        <w:tc>
          <w:tcPr>
            <w:tcW w:w="10650"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职业健康安全管理体系及其过程、5.1领导作用和承诺、5.2质量/环境/职业健康安全方针、5.3组织的岗位、职责和权限、6.1应对风险和机遇的措施、6.2质量/环境/职业健康安全目标及其实现的策划、7.1.1资源、7.4沟通/信息交流、9.3管理评审、10.1改进、10.3持续改进</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Q6.3变更的策划、8.3产品和服务的设计和开发不适用确认</w:t>
            </w:r>
          </w:p>
          <w:p>
            <w:pPr>
              <w:keepNext w:val="0"/>
              <w:keepLines w:val="0"/>
              <w:pageBreakBefore w:val="0"/>
              <w:widowControl w:val="0"/>
              <w:kinsoku/>
              <w:wordWrap/>
              <w:overflowPunct/>
              <w:topLinePunct w:val="0"/>
              <w:autoSpaceDE/>
              <w:autoSpaceDN/>
              <w:bidi w:val="0"/>
              <w:adjustRightInd w:val="0"/>
              <w:snapToGrid w:val="0"/>
              <w:spacing w:line="312"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O5.4协商与参与</w:t>
            </w:r>
          </w:p>
          <w:p>
            <w:pPr>
              <w:rPr>
                <w:rFonts w:hint="eastAsia"/>
                <w:sz w:val="24"/>
                <w:szCs w:val="24"/>
              </w:rPr>
            </w:pPr>
            <w:r>
              <w:rPr>
                <w:rFonts w:hint="eastAsia" w:ascii="宋体" w:hAnsi="宋体" w:cs="Arial"/>
                <w:sz w:val="21"/>
                <w:szCs w:val="21"/>
              </w:rPr>
              <w:t>标准/规范/法规的执行情况、</w:t>
            </w:r>
            <w:r>
              <w:rPr>
                <w:rFonts w:hint="eastAsia" w:ascii="宋体" w:hAnsi="宋体" w:cs="Arial"/>
                <w:sz w:val="21"/>
                <w:szCs w:val="21"/>
                <w:lang w:eastAsia="zh-CN"/>
              </w:rPr>
              <w:t>上次</w:t>
            </w:r>
            <w:r>
              <w:rPr>
                <w:rFonts w:hint="eastAsia" w:ascii="宋体" w:hAnsi="宋体" w:cs="Arial"/>
                <w:sz w:val="21"/>
                <w:szCs w:val="21"/>
              </w:rPr>
              <w:t>审核不符合项的验证、认证证书、标志的使用情况、投诉或事故、监督抽查情况</w:t>
            </w:r>
          </w:p>
        </w:tc>
        <w:tc>
          <w:tcPr>
            <w:tcW w:w="9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650"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韶关市卓一办公家具有限责任公司成立于2019</w:t>
            </w:r>
            <w:r>
              <w:rPr>
                <w:rFonts w:hint="eastAsia" w:ascii="宋体" w:hAnsi="宋体" w:eastAsia="宋体" w:cs="Arial"/>
                <w:color w:val="auto"/>
                <w:spacing w:val="-6"/>
                <w:sz w:val="21"/>
                <w:szCs w:val="21"/>
                <w:lang w:eastAsia="zh-CN"/>
              </w:rPr>
              <w:t>年</w:t>
            </w:r>
            <w:r>
              <w:rPr>
                <w:rFonts w:hint="eastAsia" w:ascii="宋体" w:hAnsi="宋体" w:eastAsia="宋体" w:cs="Arial"/>
                <w:color w:val="auto"/>
                <w:spacing w:val="-6"/>
                <w:sz w:val="21"/>
                <w:szCs w:val="21"/>
              </w:rPr>
              <w:t>03</w:t>
            </w:r>
            <w:r>
              <w:rPr>
                <w:rFonts w:hint="eastAsia" w:ascii="宋体" w:hAnsi="宋体" w:eastAsia="宋体" w:cs="Arial"/>
                <w:color w:val="auto"/>
                <w:spacing w:val="-6"/>
                <w:sz w:val="21"/>
                <w:szCs w:val="21"/>
                <w:lang w:eastAsia="zh-CN"/>
              </w:rPr>
              <w:t>月</w:t>
            </w:r>
            <w:r>
              <w:rPr>
                <w:rFonts w:hint="eastAsia" w:ascii="宋体" w:hAnsi="宋体" w:eastAsia="宋体" w:cs="Arial"/>
                <w:color w:val="auto"/>
                <w:spacing w:val="-6"/>
                <w:sz w:val="21"/>
                <w:szCs w:val="21"/>
              </w:rPr>
              <w:t>14</w:t>
            </w:r>
            <w:r>
              <w:rPr>
                <w:rFonts w:hint="eastAsia" w:ascii="宋体" w:hAnsi="宋体" w:eastAsia="宋体" w:cs="Arial"/>
                <w:color w:val="auto"/>
                <w:spacing w:val="-6"/>
                <w:sz w:val="21"/>
                <w:szCs w:val="21"/>
                <w:lang w:eastAsia="zh-CN"/>
              </w:rPr>
              <w:t>日</w:t>
            </w:r>
            <w:r>
              <w:rPr>
                <w:rFonts w:hint="eastAsia" w:ascii="宋体" w:hAnsi="宋体" w:eastAsia="宋体" w:cs="Arial"/>
                <w:color w:val="auto"/>
                <w:spacing w:val="-6"/>
                <w:sz w:val="21"/>
                <w:szCs w:val="21"/>
              </w:rPr>
              <w:t>，注册资本为108万元人民币</w:t>
            </w:r>
            <w:r>
              <w:rPr>
                <w:rFonts w:hint="eastAsia" w:ascii="宋体" w:hAnsi="宋体" w:eastAsia="宋体" w:cs="Arial"/>
                <w:color w:val="auto"/>
                <w:spacing w:val="-6"/>
                <w:sz w:val="21"/>
                <w:szCs w:val="21"/>
                <w:lang w:eastAsia="zh-CN"/>
              </w:rPr>
              <w:t>，统一社会信用代码91440204MA5309J393</w:t>
            </w:r>
            <w:r>
              <w:rPr>
                <w:rFonts w:hint="eastAsia" w:ascii="宋体" w:hAnsi="宋体" w:eastAsia="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rPr>
              <w:t>企业地址位于韶关市浈江区金汇大道88号鑫金汇建材家居广场条铺20栋229号</w:t>
            </w:r>
            <w:r>
              <w:rPr>
                <w:rFonts w:hint="eastAsia" w:ascii="宋体" w:hAnsi="宋体" w:eastAsia="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cs="Arial"/>
                <w:color w:val="auto"/>
                <w:spacing w:val="-6"/>
                <w:sz w:val="21"/>
                <w:szCs w:val="21"/>
                <w:lang w:val="en-US" w:eastAsia="zh-CN"/>
              </w:rPr>
              <w:t>营业执照</w:t>
            </w:r>
            <w:r>
              <w:rPr>
                <w:rFonts w:hint="eastAsia" w:ascii="宋体" w:hAnsi="宋体" w:eastAsia="宋体" w:cs="Arial"/>
                <w:color w:val="auto"/>
                <w:spacing w:val="-6"/>
                <w:sz w:val="21"/>
                <w:szCs w:val="21"/>
              </w:rPr>
              <w:t>经营范围：一般项目:家具销售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办公设备销售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办公用品销售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家居用品销售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家用电器销售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家具安装和维修服务</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厨具卫具及日用杂品批发</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针纺织品及原料销售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产业用纺织制成品销售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音响设备销售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幻灯及投影设备销售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广告制作</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广告发布</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计算机软硬件及辅助设备批发</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机械设备销售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通用设备修理。（除依法须经批准的项目外,凭营业执照依法自主开展经营活动）许可项目:住宅室内装饰装修</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特种设备安装改造修理</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建设工程施工。（依法须经批准的项目,经相关部门批准后方可开展经营活动,具体经营项目以相关部门批准文件或许可证件为准）。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经营范围覆盖了体系认证范围。</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公司人员共</w:t>
            </w:r>
            <w:r>
              <w:rPr>
                <w:rFonts w:hint="eastAsia" w:ascii="宋体" w:hAnsi="宋体" w:eastAsia="宋体" w:cs="Arial"/>
                <w:color w:val="auto"/>
                <w:spacing w:val="-6"/>
                <w:sz w:val="21"/>
                <w:szCs w:val="21"/>
                <w:lang w:val="en-US" w:eastAsia="zh-CN"/>
              </w:rPr>
              <w:t>6</w:t>
            </w:r>
            <w:r>
              <w:rPr>
                <w:rFonts w:hint="eastAsia" w:ascii="宋体" w:hAnsi="宋体" w:eastAsia="宋体" w:cs="Arial"/>
                <w:color w:val="auto"/>
                <w:spacing w:val="-6"/>
                <w:sz w:val="21"/>
                <w:szCs w:val="21"/>
              </w:rPr>
              <w:t>人，建立有员工花名册；</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rPr>
              <w:t>主要设备有：电脑、打印机等</w:t>
            </w:r>
            <w:r>
              <w:rPr>
                <w:rFonts w:hint="eastAsia" w:ascii="宋体" w:hAnsi="宋体" w:eastAsia="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监测装置有：</w:t>
            </w:r>
            <w:r>
              <w:rPr>
                <w:rFonts w:hint="eastAsia" w:ascii="宋体" w:hAnsi="宋体" w:eastAsia="宋体" w:cs="Arial"/>
                <w:color w:val="auto"/>
                <w:spacing w:val="-6"/>
                <w:sz w:val="21"/>
                <w:szCs w:val="21"/>
                <w:lang w:eastAsia="zh-CN"/>
              </w:rPr>
              <w:t>卷尺、</w:t>
            </w:r>
            <w:r>
              <w:rPr>
                <w:rFonts w:hint="eastAsia" w:ascii="宋体" w:hAnsi="宋体" w:eastAsia="宋体" w:cs="Arial"/>
                <w:color w:val="auto"/>
                <w:spacing w:val="-6"/>
                <w:sz w:val="21"/>
                <w:szCs w:val="21"/>
              </w:rPr>
              <w:t>调查表等；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环保设施有：灭火器、垃圾桶等；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拥有面积</w:t>
            </w:r>
            <w:r>
              <w:rPr>
                <w:rFonts w:hint="eastAsia" w:ascii="宋体" w:hAnsi="宋体" w:cs="Arial"/>
                <w:color w:val="auto"/>
                <w:spacing w:val="-6"/>
                <w:sz w:val="21"/>
                <w:szCs w:val="21"/>
                <w:lang w:val="en-US" w:eastAsia="zh-CN"/>
              </w:rPr>
              <w:t>4</w:t>
            </w:r>
            <w:r>
              <w:rPr>
                <w:rFonts w:hint="eastAsia" w:ascii="宋体" w:hAnsi="宋体" w:eastAsia="宋体" w:cs="Arial"/>
                <w:color w:val="auto"/>
                <w:spacing w:val="-6"/>
                <w:sz w:val="21"/>
                <w:szCs w:val="21"/>
              </w:rPr>
              <w:t>00</w:t>
            </w:r>
            <w:r>
              <w:rPr>
                <w:rFonts w:hint="eastAsia" w:ascii="宋体" w:hAnsi="宋体" w:cs="Arial"/>
                <w:color w:val="auto"/>
                <w:spacing w:val="-6"/>
                <w:sz w:val="21"/>
                <w:szCs w:val="21"/>
                <w:lang w:val="en-US" w:eastAsia="zh-CN"/>
              </w:rPr>
              <w:t>余</w:t>
            </w:r>
            <w:r>
              <w:rPr>
                <w:rFonts w:hint="eastAsia" w:ascii="宋体" w:hAnsi="宋体" w:eastAsia="宋体" w:cs="Arial"/>
                <w:color w:val="auto"/>
                <w:spacing w:val="-6"/>
                <w:sz w:val="21"/>
                <w:szCs w:val="21"/>
              </w:rPr>
              <w:t>平方米的</w:t>
            </w:r>
            <w:r>
              <w:rPr>
                <w:rFonts w:hint="eastAsia" w:ascii="宋体" w:hAnsi="宋体" w:cs="Arial"/>
                <w:color w:val="auto"/>
                <w:spacing w:val="-6"/>
                <w:sz w:val="21"/>
                <w:szCs w:val="21"/>
                <w:lang w:val="en-US" w:eastAsia="zh-CN"/>
              </w:rPr>
              <w:t>办公用品</w:t>
            </w:r>
            <w:r>
              <w:rPr>
                <w:rFonts w:hint="eastAsia" w:ascii="宋体" w:hAnsi="宋体" w:eastAsia="宋体" w:cs="Arial"/>
                <w:color w:val="auto"/>
                <w:spacing w:val="-6"/>
                <w:sz w:val="21"/>
                <w:szCs w:val="21"/>
              </w:rPr>
              <w:t>展厅。</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w:t>
            </w:r>
            <w:r>
              <w:rPr>
                <w:rFonts w:hint="eastAsia" w:ascii="宋体" w:hAnsi="宋体" w:cs="Arial"/>
                <w:color w:val="auto"/>
                <w:spacing w:val="-6"/>
                <w:sz w:val="21"/>
                <w:szCs w:val="21"/>
                <w:lang w:val="en-US" w:eastAsia="zh-CN"/>
              </w:rPr>
              <w:t>设置</w:t>
            </w:r>
            <w:r>
              <w:rPr>
                <w:rFonts w:hint="eastAsia" w:ascii="宋体" w:hAnsi="宋体" w:eastAsia="宋体" w:cs="Arial"/>
                <w:color w:val="auto"/>
                <w:spacing w:val="-6"/>
                <w:sz w:val="21"/>
                <w:szCs w:val="21"/>
              </w:rPr>
              <w:t>有</w:t>
            </w:r>
            <w:r>
              <w:rPr>
                <w:rFonts w:hint="eastAsia" w:ascii="宋体" w:hAnsi="宋体" w:cs="Arial"/>
                <w:color w:val="auto"/>
                <w:spacing w:val="-6"/>
                <w:sz w:val="21"/>
                <w:szCs w:val="21"/>
                <w:lang w:val="en-US" w:eastAsia="zh-CN"/>
              </w:rPr>
              <w:t>行政部</w:t>
            </w:r>
            <w:r>
              <w:rPr>
                <w:rFonts w:hint="eastAsia" w:ascii="宋体" w:hAnsi="宋体" w:eastAsia="宋体" w:cs="Arial"/>
                <w:color w:val="auto"/>
                <w:spacing w:val="-6"/>
                <w:sz w:val="21"/>
                <w:szCs w:val="21"/>
              </w:rPr>
              <w:t>、</w:t>
            </w:r>
            <w:r>
              <w:rPr>
                <w:rFonts w:hint="eastAsia" w:ascii="宋体" w:hAnsi="宋体" w:cs="Arial"/>
                <w:color w:val="auto"/>
                <w:spacing w:val="-6"/>
                <w:sz w:val="21"/>
                <w:szCs w:val="21"/>
                <w:lang w:val="en-US" w:eastAsia="zh-CN"/>
              </w:rPr>
              <w:t>供销部</w:t>
            </w:r>
            <w:r>
              <w:rPr>
                <w:rFonts w:hint="eastAsia" w:ascii="宋体" w:hAnsi="宋体" w:eastAsia="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rPr>
              <w:t>总经理定期汇总分析市场情况，包括行业发展情况，相关企业产品分析，竞品分析，</w:t>
            </w:r>
            <w:r>
              <w:rPr>
                <w:rFonts w:hint="eastAsia" w:ascii="宋体" w:hAnsi="宋体" w:cs="Arial"/>
                <w:color w:val="auto"/>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外部因素——材料价格变动、供应商政策、客户需求的变化、新技术的采用等；；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color w:val="auto"/>
                <w:spacing w:val="-6"/>
                <w:sz w:val="21"/>
                <w:szCs w:val="21"/>
              </w:rPr>
              <w:t>公司每年根据从市场、客户、网络等搜集到的信息并结合公司自身业务运作情况进行分析，通过分析对这些内部和外部因素的相关信息进行监视和评审以确保其充分和适宜。</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50" w:type="dxa"/>
            <w:vAlign w:val="top"/>
          </w:tcPr>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公司管理手册中明确了内外部相关方包括：</w:t>
            </w:r>
            <w:r>
              <w:rPr>
                <w:rFonts w:hint="eastAsia"/>
                <w:color w:val="auto"/>
                <w:highlight w:val="none"/>
              </w:rPr>
              <w:t>顾客/最终消费者</w:t>
            </w:r>
            <w:r>
              <w:rPr>
                <w:rFonts w:hint="eastAsia"/>
                <w:color w:val="auto"/>
                <w:highlight w:val="none"/>
                <w:lang w:eastAsia="zh-CN"/>
              </w:rPr>
              <w:t>、</w:t>
            </w:r>
            <w:r>
              <w:rPr>
                <w:rFonts w:hint="eastAsia"/>
                <w:color w:val="auto"/>
                <w:highlight w:val="none"/>
              </w:rPr>
              <w:t>员工</w:t>
            </w:r>
            <w:r>
              <w:rPr>
                <w:rFonts w:hint="eastAsia"/>
                <w:color w:val="auto"/>
                <w:highlight w:val="none"/>
                <w:lang w:eastAsia="zh-CN"/>
              </w:rPr>
              <w:t>、</w:t>
            </w:r>
            <w:r>
              <w:rPr>
                <w:rFonts w:hint="eastAsia"/>
                <w:color w:val="auto"/>
                <w:highlight w:val="none"/>
              </w:rPr>
              <w:t>政府</w:t>
            </w:r>
            <w:r>
              <w:rPr>
                <w:rFonts w:hint="eastAsia"/>
                <w:color w:val="auto"/>
                <w:highlight w:val="none"/>
                <w:lang w:eastAsia="zh-CN"/>
              </w:rPr>
              <w:t>、</w:t>
            </w:r>
            <w:r>
              <w:rPr>
                <w:rFonts w:hint="eastAsia"/>
                <w:color w:val="auto"/>
                <w:highlight w:val="none"/>
              </w:rPr>
              <w:t>外部供方</w:t>
            </w:r>
            <w:r>
              <w:rPr>
                <w:rFonts w:hint="eastAsia"/>
                <w:color w:val="auto"/>
                <w:highlight w:val="none"/>
                <w:lang w:eastAsia="zh-CN"/>
              </w:rPr>
              <w:t>、</w:t>
            </w:r>
            <w:r>
              <w:rPr>
                <w:rFonts w:hint="eastAsia"/>
                <w:color w:val="auto"/>
                <w:highlight w:val="none"/>
              </w:rPr>
              <w:t>竞争对手</w:t>
            </w:r>
            <w:r>
              <w:rPr>
                <w:rFonts w:hint="eastAsia"/>
                <w:color w:val="auto"/>
                <w:highlight w:val="none"/>
                <w:lang w:eastAsia="zh-CN"/>
              </w:rPr>
              <w:t>、</w:t>
            </w:r>
            <w:r>
              <w:rPr>
                <w:rFonts w:hint="eastAsia"/>
                <w:color w:val="auto"/>
                <w:highlight w:val="none"/>
              </w:rPr>
              <w:t>社会相邻单位</w:t>
            </w:r>
            <w:r>
              <w:rPr>
                <w:rFonts w:hint="eastAsia"/>
                <w:color w:val="auto"/>
                <w:highlight w:val="none"/>
                <w:lang w:val="en-US" w:eastAsia="zh-CN"/>
              </w:rPr>
              <w:t>等；</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清单中明确了相关方要求与期望、监测指标或项目、监测频率、监测部门等。</w:t>
            </w:r>
          </w:p>
          <w:p>
            <w:pPr>
              <w:spacing w:line="360" w:lineRule="auto"/>
              <w:ind w:firstLine="420" w:firstLineChars="200"/>
              <w:rPr>
                <w:rFonts w:hint="default" w:ascii="Times New Roman" w:hAnsi="Times New Roman" w:eastAsia="宋体" w:cs="Times New Roman"/>
                <w:kern w:val="2"/>
                <w:sz w:val="21"/>
                <w:lang w:val="en-US" w:eastAsia="zh-CN" w:bidi="ar-SA"/>
              </w:rPr>
            </w:pPr>
            <w:r>
              <w:rPr>
                <w:rFonts w:hint="eastAsia"/>
                <w:color w:val="auto"/>
                <w:highlight w:val="none"/>
                <w:lang w:val="en-US" w:eastAsia="zh-CN"/>
              </w:rPr>
              <w:t>基本符合。</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238"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50"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存在的机遇：拉动内需，质量升级改造，对整个家具行业的需求在增大；公司在当地经营多年，有良好的基础，合作伙伴都是大品牌的家具制造商，客户信任度高</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存在的风险：主要来自竞争对手的竞争，行业入门容易、技术含量低，员工年轻经验不够丰富等</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公司策划了业务流程：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产品要求信息获取----产品要求评审----签订合同----采购----质检----销售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关键过程：销售；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需要确认的过程：销售；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经确认，公司无外包过程。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基于业务流程，公司分析了重要环境因素和不可接受风险，并策划了控制措施：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能源消耗</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固废排放等，基本合理。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控制措施：一般固废集中收集外售；危废</w:t>
            </w:r>
            <w:r>
              <w:rPr>
                <w:rFonts w:hint="eastAsia" w:ascii="宋体" w:hAnsi="宋体" w:cs="Arial"/>
                <w:color w:val="auto"/>
                <w:spacing w:val="-6"/>
                <w:sz w:val="21"/>
                <w:szCs w:val="21"/>
                <w:lang w:val="en-US" w:eastAsia="zh-CN"/>
              </w:rPr>
              <w:t>由供应商带回以旧换新</w:t>
            </w:r>
            <w:r>
              <w:rPr>
                <w:rFonts w:hint="eastAsia" w:ascii="宋体" w:hAnsi="宋体" w:cs="Arial"/>
                <w:color w:val="auto"/>
                <w:spacing w:val="-6"/>
                <w:sz w:val="21"/>
                <w:szCs w:val="21"/>
              </w:rPr>
              <w:t>；做好火灾预防措施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保持消防器材的完好</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不可接受风险有：触电伤害</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潜在火灾</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交通意外伤害</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控制措施：提高安全意识，做好火灾预防措施</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保持消防器材的完好</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制定目标、指标</w:t>
            </w:r>
            <w:r>
              <w:rPr>
                <w:rFonts w:hint="eastAsia" w:ascii="宋体" w:hAnsi="宋体" w:cs="Arial"/>
                <w:color w:val="auto"/>
                <w:spacing w:val="-6"/>
                <w:sz w:val="21"/>
                <w:szCs w:val="21"/>
                <w:lang w:val="en-US" w:eastAsia="zh-CN"/>
              </w:rPr>
              <w:t>和管理方案</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的风险和机遇，公司依据GB/T19001-2016、GB/T24001-2016、GB/T45001-2020标准的要求并结合本公司的具体情况，采取PDCA的过程方法，建立、实施、保持并持续改进质量、环境、职业健康安全管理体系。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w:t>
            </w:r>
            <w:r>
              <w:rPr>
                <w:rFonts w:hint="eastAsia" w:ascii="宋体" w:hAnsi="宋体" w:cs="Arial"/>
                <w:color w:val="auto"/>
                <w:spacing w:val="-6"/>
                <w:sz w:val="21"/>
                <w:szCs w:val="21"/>
                <w:lang w:val="en-US" w:eastAsia="zh-CN"/>
              </w:rPr>
              <w:t>2</w:t>
            </w:r>
            <w:r>
              <w:rPr>
                <w:rFonts w:hint="eastAsia" w:ascii="宋体" w:hAnsi="宋体" w:cs="Arial"/>
                <w:color w:val="auto"/>
                <w:spacing w:val="-6"/>
                <w:sz w:val="21"/>
                <w:szCs w:val="21"/>
              </w:rPr>
              <w:t>版，</w:t>
            </w:r>
            <w:r>
              <w:rPr>
                <w:rFonts w:hint="eastAsia" w:ascii="宋体" w:hAnsi="宋体" w:cs="Arial"/>
                <w:color w:val="auto"/>
                <w:spacing w:val="-6"/>
                <w:sz w:val="21"/>
                <w:szCs w:val="21"/>
                <w:lang w:val="en-US" w:eastAsia="zh-CN"/>
              </w:rPr>
              <w:t>于</w:t>
            </w:r>
            <w:r>
              <w:rPr>
                <w:rFonts w:hint="eastAsia" w:ascii="宋体" w:hAnsi="宋体" w:cs="Arial"/>
                <w:color w:val="auto"/>
                <w:spacing w:val="-6"/>
                <w:sz w:val="21"/>
                <w:szCs w:val="21"/>
              </w:rPr>
              <w:t>2022年08月05日</w:t>
            </w:r>
            <w:r>
              <w:rPr>
                <w:rFonts w:hint="eastAsia" w:ascii="宋体" w:hAnsi="宋体" w:cs="Arial"/>
                <w:color w:val="auto"/>
                <w:spacing w:val="-6"/>
                <w:sz w:val="21"/>
                <w:szCs w:val="21"/>
                <w:lang w:val="en-US" w:eastAsia="zh-CN"/>
              </w:rPr>
              <w:t>实施</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个，版本号：A/0；废弃物控制程序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包装与配送制度、顾客满意度调查制度、客户管理控制、督查督办工作制度、服务补救程序、危机管理制度、产品退换货管理制度、废弃商品处置规定、服务承诺书、顾客信息保密制度、商品召回管理制度、投诉处理制度、危机事件处理规定、员工培训管理制度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rPr>
              <w:t>建立有外来文件清单，</w:t>
            </w:r>
            <w:r>
              <w:rPr>
                <w:rFonts w:hint="eastAsia" w:ascii="宋体" w:hAnsi="宋体" w:cs="Arial"/>
                <w:color w:val="auto"/>
                <w:spacing w:val="-6"/>
                <w:sz w:val="21"/>
                <w:szCs w:val="21"/>
                <w:lang w:val="en-US" w:eastAsia="zh-CN"/>
              </w:rPr>
              <w:t>收集有中华人民共和国产品质量法、中华人民共和国环境保护法、中华人民共和国消防法、木家具通用技术条件GB/T3325-2017、金属家具通用技术条件GB/T 3324-2017、国家纺织产品基本安全技术规范GB 18401-2010 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建立适用的法律法规及其他要求一览表，</w:t>
            </w:r>
            <w:r>
              <w:rPr>
                <w:rFonts w:hint="eastAsia" w:ascii="宋体" w:hAnsi="宋体" w:cs="Arial"/>
                <w:color w:val="auto"/>
                <w:spacing w:val="-6"/>
                <w:sz w:val="21"/>
                <w:szCs w:val="21"/>
                <w:lang w:val="en-US" w:eastAsia="zh-CN"/>
              </w:rPr>
              <w:t>收集质量、环境、职业健康安全相关法律法规、标准、条例、地方性法规等100余个，基本符合。</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本公司识别并确定了如下分工及过程：销售过程、采购过程、检验与交付过程、绩效分析、评价与改进等多个过程。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业务</w:t>
            </w:r>
            <w:r>
              <w:rPr>
                <w:rFonts w:hint="eastAsia" w:ascii="宋体" w:hAnsi="宋体" w:cs="Arial"/>
                <w:color w:val="auto"/>
                <w:spacing w:val="-6"/>
                <w:sz w:val="21"/>
                <w:szCs w:val="21"/>
              </w:rPr>
              <w:t>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产品要求信息获取----产品要求评审----签订合同----采购----质检----销售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Q：办公家具、校用家具、厨房设备、窗帘的销售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E：办公家具、校用家具、厨房设备、窗帘的销售所涉及场所的相关环境管理活动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O：办公家具、校用家具、厨房设备、窗帘的销售所涉及场所的相关职业健康安全管理活动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不适用条款：Q8.3。本公司办公家具、校用家具、厨房设备、窗帘的销售及其所涉及的相关管理活动均参照行业标准、企业规范及客户提供的尺寸组织采购销售，其销售过程不涉及GB/T19001-2016/ISO 9001:2015标准中8.3条款内容，其不适用的要求不影响公司确保其产品和服务合格的能力和责任，对增强顾客满意也不会产生影响。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于2022年8月变更了认证范围，对手册进行了换版，新版文件基本符合，详见文审报告</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基本合理。</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650" w:type="dxa"/>
            <w:vAlign w:val="top"/>
          </w:tcPr>
          <w:p>
            <w:pPr>
              <w:spacing w:line="360" w:lineRule="auto"/>
              <w:ind w:firstLine="420" w:firstLineChars="200"/>
              <w:rPr>
                <w:rFonts w:hint="eastAsia"/>
                <w:color w:val="auto"/>
              </w:rPr>
            </w:pPr>
            <w:r>
              <w:rPr>
                <w:rFonts w:hint="eastAsia"/>
                <w:color w:val="auto"/>
              </w:rPr>
              <w:t>《管理手册》中明确了公司的质量、环境、职业健康安全方针是：</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lang w:val="en-US" w:eastAsia="zh-CN"/>
              </w:rPr>
              <w:t>方针适宜于公司现状，在管理手册中明确，通过文件发放，</w:t>
            </w:r>
            <w:r>
              <w:rPr>
                <w:rFonts w:hint="eastAsia" w:cs="Times New Roman"/>
                <w:color w:val="auto"/>
                <w:szCs w:val="22"/>
                <w:lang w:val="en-US" w:eastAsia="zh-CN"/>
              </w:rPr>
              <w:t>使</w:t>
            </w:r>
            <w:r>
              <w:rPr>
                <w:rFonts w:hint="eastAsia" w:ascii="Times New Roman" w:hAnsi="Times New Roman" w:eastAsia="宋体" w:cs="Times New Roman"/>
                <w:color w:val="auto"/>
                <w:szCs w:val="22"/>
                <w:lang w:val="en-US" w:eastAsia="zh-CN"/>
              </w:rPr>
              <w:t>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质量目标：1、交货及时率≥95%；</w:t>
            </w:r>
          </w:p>
          <w:p>
            <w:pPr>
              <w:spacing w:line="360" w:lineRule="auto"/>
              <w:ind w:firstLine="420" w:firstLineChars="200"/>
              <w:rPr>
                <w:rFonts w:hint="eastAsia" w:ascii="Times New Roman" w:hAnsi="Times New Roman" w:eastAsia="宋体" w:cs="Times New Roman"/>
                <w:color w:val="auto"/>
                <w:szCs w:val="22"/>
              </w:rPr>
            </w:pPr>
            <w:r>
              <w:rPr>
                <w:rFonts w:hint="eastAsia" w:cs="Times New Roman"/>
                <w:color w:val="auto"/>
                <w:szCs w:val="22"/>
                <w:lang w:val="en-US" w:eastAsia="zh-CN"/>
              </w:rPr>
              <w:t xml:space="preserve">          </w:t>
            </w:r>
            <w:r>
              <w:rPr>
                <w:rFonts w:hint="eastAsia" w:ascii="Times New Roman" w:hAnsi="Times New Roman" w:eastAsia="宋体" w:cs="Times New Roman"/>
                <w:color w:val="auto"/>
                <w:szCs w:val="22"/>
              </w:rPr>
              <w:t>2、顾客满意度≥92分；</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环境、职业健康安全目标：</w:t>
            </w:r>
          </w:p>
          <w:p>
            <w:pPr>
              <w:spacing w:line="360" w:lineRule="auto"/>
              <w:ind w:firstLine="1470" w:firstLineChars="7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火灾、触电事故为0</w:t>
            </w:r>
          </w:p>
          <w:p>
            <w:pPr>
              <w:spacing w:line="360" w:lineRule="auto"/>
              <w:ind w:firstLine="1470" w:firstLineChars="7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固体废弃物分类处置率100%</w:t>
            </w:r>
          </w:p>
          <w:p>
            <w:pPr>
              <w:spacing w:line="360" w:lineRule="auto"/>
              <w:ind w:firstLine="1470" w:firstLineChars="700"/>
              <w:rPr>
                <w:rFonts w:hint="eastAsia" w:ascii="Times New Roman" w:hAnsi="Times New Roman" w:eastAsia="宋体" w:cs="Times New Roman"/>
                <w:color w:val="auto"/>
                <w:szCs w:val="22"/>
                <w:lang w:eastAsia="zh-CN"/>
              </w:rPr>
            </w:pPr>
            <w:r>
              <w:rPr>
                <w:rFonts w:hint="eastAsia" w:ascii="Times New Roman" w:hAnsi="Times New Roman" w:eastAsia="宋体" w:cs="Times New Roman"/>
                <w:color w:val="auto"/>
                <w:szCs w:val="22"/>
              </w:rPr>
              <w:t>交通意外伤害为0</w:t>
            </w:r>
          </w:p>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保留有</w:t>
            </w:r>
            <w:r>
              <w:rPr>
                <w:rFonts w:hint="default" w:ascii="Times New Roman" w:hAnsi="Times New Roman" w:eastAsia="宋体" w:cs="Times New Roman"/>
                <w:color w:val="auto"/>
                <w:szCs w:val="22"/>
                <w:lang w:val="en-US" w:eastAsia="zh-CN"/>
              </w:rPr>
              <w:t>公司的环境和安全管理方案和控制措施</w:t>
            </w:r>
            <w:r>
              <w:rPr>
                <w:rFonts w:hint="eastAsia" w:ascii="Times New Roman" w:hAnsi="Times New Roman" w:eastAsia="宋体" w:cs="Times New Roman"/>
                <w:color w:val="auto"/>
                <w:szCs w:val="22"/>
                <w:lang w:val="en-US" w:eastAsia="zh-CN"/>
              </w:rPr>
              <w:t>，</w:t>
            </w:r>
            <w:r>
              <w:rPr>
                <w:rFonts w:hint="default" w:ascii="Times New Roman" w:hAnsi="Times New Roman" w:eastAsia="宋体" w:cs="Times New Roman"/>
                <w:color w:val="auto"/>
                <w:szCs w:val="22"/>
                <w:lang w:val="en-US" w:eastAsia="zh-CN"/>
              </w:rPr>
              <w:t>基本符合。</w:t>
            </w:r>
          </w:p>
          <w:p>
            <w:pPr>
              <w:spacing w:line="360" w:lineRule="auto"/>
              <w:ind w:firstLine="396" w:firstLineChars="200"/>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质量\环境\职业健康安全目标分解考核表</w:t>
            </w:r>
            <w:r>
              <w:rPr>
                <w:rFonts w:hint="eastAsia" w:ascii="宋体" w:hAnsi="宋体" w:cs="Arial"/>
                <w:color w:val="auto"/>
                <w:spacing w:val="-6"/>
                <w:sz w:val="21"/>
                <w:szCs w:val="21"/>
                <w:lang w:val="en-US" w:eastAsia="zh-CN"/>
              </w:rPr>
              <w:t>”，每季度考核，</w:t>
            </w:r>
            <w:r>
              <w:rPr>
                <w:rFonts w:hint="default" w:ascii="宋体" w:hAnsi="宋体" w:cs="Arial"/>
                <w:color w:val="auto"/>
                <w:spacing w:val="-6"/>
                <w:sz w:val="21"/>
                <w:szCs w:val="21"/>
                <w:lang w:val="en-US" w:eastAsia="zh-CN"/>
              </w:rPr>
              <w:t>202</w:t>
            </w:r>
            <w:r>
              <w:rPr>
                <w:rFonts w:hint="eastAsia" w:ascii="宋体" w:hAnsi="宋体" w:cs="Arial"/>
                <w:color w:val="auto"/>
                <w:spacing w:val="-6"/>
                <w:sz w:val="21"/>
                <w:szCs w:val="21"/>
                <w:lang w:val="en-US" w:eastAsia="zh-CN"/>
              </w:rPr>
              <w:t>2</w:t>
            </w:r>
            <w:r>
              <w:rPr>
                <w:rFonts w:hint="default" w:ascii="宋体" w:hAnsi="宋体" w:cs="Arial"/>
                <w:color w:val="auto"/>
                <w:spacing w:val="-6"/>
                <w:sz w:val="21"/>
                <w:szCs w:val="21"/>
                <w:lang w:val="en-US" w:eastAsia="zh-CN"/>
              </w:rPr>
              <w:t>年</w:t>
            </w:r>
            <w:r>
              <w:rPr>
                <w:rFonts w:hint="eastAsia" w:ascii="宋体" w:hAnsi="宋体" w:cs="Arial"/>
                <w:color w:val="auto"/>
                <w:spacing w:val="-6"/>
                <w:sz w:val="21"/>
                <w:szCs w:val="21"/>
                <w:lang w:val="en-US" w:eastAsia="zh-CN"/>
              </w:rPr>
              <w:t>1-12月</w:t>
            </w:r>
            <w:r>
              <w:rPr>
                <w:rFonts w:hint="default" w:ascii="宋体" w:hAnsi="宋体" w:cs="Arial"/>
                <w:color w:val="auto"/>
                <w:spacing w:val="-6"/>
                <w:sz w:val="21"/>
                <w:szCs w:val="21"/>
                <w:lang w:val="en-US" w:eastAsia="zh-CN"/>
              </w:rPr>
              <w:t>所有目标均已完成。</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238"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650"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rPr>
              <w:t>最高管理者</w:t>
            </w:r>
            <w:r>
              <w:rPr>
                <w:rFonts w:hint="eastAsia" w:ascii="宋体" w:hAnsi="宋体" w:cs="Arial"/>
                <w:color w:val="auto"/>
                <w:spacing w:val="-6"/>
                <w:sz w:val="21"/>
                <w:szCs w:val="21"/>
                <w:lang w:val="en-US" w:eastAsia="zh-CN"/>
              </w:rPr>
              <w:t>在管理手册中</w:t>
            </w:r>
            <w:r>
              <w:rPr>
                <w:rFonts w:hint="eastAsia" w:ascii="宋体" w:hAnsi="宋体" w:cs="Arial"/>
                <w:color w:val="auto"/>
                <w:spacing w:val="-6"/>
                <w:sz w:val="21"/>
                <w:szCs w:val="21"/>
              </w:rPr>
              <w:t>明确了各部门和各岗位的职责和权限，以确保管理体系符合各项标准的要求，并确保各个过程获得其预期输出</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向最高管理者报告质量、环境、职业健康安全管理体系的绩效及改进机会，确保整个组织推动以顾客为关注焦点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保持环境管理和职业健康安全管理绩效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公司设置有行政部、供销部。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650"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韶关市卓一办公家具有限责任公司成立于2019</w:t>
            </w:r>
            <w:r>
              <w:rPr>
                <w:rFonts w:hint="eastAsia" w:ascii="宋体" w:hAnsi="宋体" w:eastAsia="宋体" w:cs="Arial"/>
                <w:color w:val="auto"/>
                <w:spacing w:val="-6"/>
                <w:sz w:val="21"/>
                <w:szCs w:val="21"/>
                <w:lang w:eastAsia="zh-CN"/>
              </w:rPr>
              <w:t>年</w:t>
            </w:r>
            <w:r>
              <w:rPr>
                <w:rFonts w:hint="eastAsia" w:ascii="宋体" w:hAnsi="宋体" w:eastAsia="宋体" w:cs="Arial"/>
                <w:color w:val="auto"/>
                <w:spacing w:val="-6"/>
                <w:sz w:val="21"/>
                <w:szCs w:val="21"/>
              </w:rPr>
              <w:t>03</w:t>
            </w:r>
            <w:r>
              <w:rPr>
                <w:rFonts w:hint="eastAsia" w:ascii="宋体" w:hAnsi="宋体" w:eastAsia="宋体" w:cs="Arial"/>
                <w:color w:val="auto"/>
                <w:spacing w:val="-6"/>
                <w:sz w:val="21"/>
                <w:szCs w:val="21"/>
                <w:lang w:eastAsia="zh-CN"/>
              </w:rPr>
              <w:t>月</w:t>
            </w:r>
            <w:r>
              <w:rPr>
                <w:rFonts w:hint="eastAsia" w:ascii="宋体" w:hAnsi="宋体" w:eastAsia="宋体" w:cs="Arial"/>
                <w:color w:val="auto"/>
                <w:spacing w:val="-6"/>
                <w:sz w:val="21"/>
                <w:szCs w:val="21"/>
              </w:rPr>
              <w:t>14</w:t>
            </w:r>
            <w:r>
              <w:rPr>
                <w:rFonts w:hint="eastAsia" w:ascii="宋体" w:hAnsi="宋体" w:eastAsia="宋体" w:cs="Arial"/>
                <w:color w:val="auto"/>
                <w:spacing w:val="-6"/>
                <w:sz w:val="21"/>
                <w:szCs w:val="21"/>
                <w:lang w:eastAsia="zh-CN"/>
              </w:rPr>
              <w:t>日</w:t>
            </w:r>
            <w:r>
              <w:rPr>
                <w:rFonts w:hint="eastAsia" w:ascii="宋体" w:hAnsi="宋体" w:eastAsia="宋体" w:cs="Arial"/>
                <w:color w:val="auto"/>
                <w:spacing w:val="-6"/>
                <w:sz w:val="21"/>
                <w:szCs w:val="21"/>
              </w:rPr>
              <w:t>，注册资本为108万元人民币</w:t>
            </w:r>
            <w:r>
              <w:rPr>
                <w:rFonts w:hint="eastAsia" w:ascii="宋体" w:hAnsi="宋体" w:eastAsia="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rPr>
              <w:t>企业地址位于韶关市浈江区金汇大道88号鑫金汇建材家居广场条铺20栋229号</w:t>
            </w:r>
            <w:r>
              <w:rPr>
                <w:rFonts w:hint="eastAsia" w:ascii="宋体" w:hAnsi="宋体" w:eastAsia="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公司人员共</w:t>
            </w:r>
            <w:r>
              <w:rPr>
                <w:rFonts w:hint="eastAsia" w:ascii="宋体" w:hAnsi="宋体" w:eastAsia="宋体" w:cs="Arial"/>
                <w:color w:val="auto"/>
                <w:spacing w:val="-6"/>
                <w:sz w:val="21"/>
                <w:szCs w:val="21"/>
                <w:lang w:val="en-US" w:eastAsia="zh-CN"/>
              </w:rPr>
              <w:t>6</w:t>
            </w:r>
            <w:r>
              <w:rPr>
                <w:rFonts w:hint="eastAsia" w:ascii="宋体" w:hAnsi="宋体" w:eastAsia="宋体" w:cs="Arial"/>
                <w:color w:val="auto"/>
                <w:spacing w:val="-6"/>
                <w:sz w:val="21"/>
                <w:szCs w:val="21"/>
              </w:rPr>
              <w:t>人，建立有员工花名册；</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公司配置了各种办公、维修设备和工具，包括：电脑、打印机、电钻、螺丝刀等；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监测装置有：</w:t>
            </w:r>
            <w:r>
              <w:rPr>
                <w:rFonts w:hint="eastAsia" w:ascii="宋体" w:hAnsi="宋体" w:eastAsia="宋体" w:cs="Arial"/>
                <w:color w:val="auto"/>
                <w:spacing w:val="-6"/>
                <w:sz w:val="21"/>
                <w:szCs w:val="21"/>
                <w:lang w:eastAsia="zh-CN"/>
              </w:rPr>
              <w:t>卷尺、</w:t>
            </w:r>
            <w:r>
              <w:rPr>
                <w:rFonts w:hint="eastAsia" w:ascii="宋体" w:hAnsi="宋体" w:eastAsia="宋体" w:cs="Arial"/>
                <w:color w:val="auto"/>
                <w:spacing w:val="-6"/>
                <w:sz w:val="21"/>
                <w:szCs w:val="21"/>
              </w:rPr>
              <w:t>调查表等；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环保设施有：灭火器、垃圾桶等；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公司现有人员6人，无资质要求；</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w:t>
            </w:r>
            <w:r>
              <w:rPr>
                <w:rFonts w:hint="eastAsia" w:ascii="宋体" w:hAnsi="宋体" w:cs="Arial"/>
                <w:color w:val="auto"/>
                <w:spacing w:val="-6"/>
                <w:sz w:val="21"/>
                <w:szCs w:val="21"/>
                <w:lang w:val="en-US" w:eastAsia="zh-CN"/>
              </w:rPr>
              <w:t>营业现场</w:t>
            </w:r>
            <w:r>
              <w:rPr>
                <w:rFonts w:hint="default" w:ascii="宋体" w:hAnsi="宋体" w:cs="Arial"/>
                <w:color w:val="auto"/>
                <w:spacing w:val="-6"/>
                <w:sz w:val="21"/>
                <w:szCs w:val="21"/>
                <w:lang w:val="en-US" w:eastAsia="zh-CN"/>
              </w:rPr>
              <w:t>现场配备了灭火器</w:t>
            </w:r>
            <w:r>
              <w:rPr>
                <w:rFonts w:hint="eastAsia" w:ascii="宋体" w:hAnsi="宋体" w:cs="Arial"/>
                <w:color w:val="auto"/>
                <w:spacing w:val="-6"/>
                <w:sz w:val="21"/>
                <w:szCs w:val="21"/>
                <w:lang w:val="en-US" w:eastAsia="zh-CN"/>
              </w:rPr>
              <w:t>、消防栓</w:t>
            </w:r>
            <w:r>
              <w:rPr>
                <w:rFonts w:hint="default" w:ascii="宋体" w:hAnsi="宋体" w:cs="Arial"/>
                <w:color w:val="auto"/>
                <w:spacing w:val="-6"/>
                <w:sz w:val="21"/>
                <w:szCs w:val="21"/>
                <w:lang w:val="en-US" w:eastAsia="zh-CN"/>
              </w:rPr>
              <w:t>等消防安全设备，能保证企业正常办公</w:t>
            </w:r>
            <w:r>
              <w:rPr>
                <w:rFonts w:hint="eastAsia" w:ascii="宋体" w:hAnsi="宋体" w:cs="Arial"/>
                <w:color w:val="auto"/>
                <w:spacing w:val="-6"/>
                <w:sz w:val="21"/>
                <w:szCs w:val="21"/>
                <w:lang w:val="en-US" w:eastAsia="zh-CN"/>
              </w:rPr>
              <w:t>，介绍说，消防安全由物业统一管理。</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公司能保证质量、环境、职业健康安全工作的开展，确保相关资金及时投入</w:t>
            </w:r>
            <w:r>
              <w:rPr>
                <w:rFonts w:hint="eastAsia" w:ascii="宋体" w:hAnsi="宋体" w:cs="Arial"/>
                <w:color w:val="auto"/>
                <w:spacing w:val="-6"/>
                <w:sz w:val="21"/>
                <w:szCs w:val="21"/>
                <w:lang w:val="en-US" w:eastAsia="zh-CN"/>
              </w:rPr>
              <w:t>，2022年投入共计7.5万元。</w:t>
            </w:r>
          </w:p>
          <w:p>
            <w:pPr>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lang w:val="en-US" w:eastAsia="zh-CN" w:bidi="ar-SA"/>
              </w:rPr>
            </w:pPr>
            <w:r>
              <w:rPr>
                <w:rFonts w:hint="default" w:ascii="宋体" w:hAnsi="宋体" w:cs="Arial"/>
                <w:color w:val="auto"/>
                <w:spacing w:val="-6"/>
                <w:sz w:val="21"/>
                <w:szCs w:val="21"/>
                <w:lang w:val="en-US" w:eastAsia="zh-CN"/>
              </w:rPr>
              <w:t>基本能满足体系运行的要求。</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10650"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公司经选举确定职业健康安全事务代表是</w:t>
            </w:r>
            <w:r>
              <w:rPr>
                <w:rFonts w:hint="eastAsia" w:ascii="宋体" w:hAnsi="宋体" w:cs="Arial"/>
                <w:color w:val="auto"/>
                <w:spacing w:val="-6"/>
                <w:sz w:val="21"/>
                <w:szCs w:val="21"/>
                <w:highlight w:val="none"/>
                <w:u w:val="single"/>
                <w:lang w:val="en-US" w:eastAsia="zh-CN"/>
              </w:rPr>
              <w:t>卢龙兵</w:t>
            </w:r>
            <w:r>
              <w:rPr>
                <w:rFonts w:hint="eastAsia" w:ascii="宋体" w:hAnsi="宋体" w:eastAsia="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1.参与管理方针和程序的制定和评审；</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2.参与商讨影响工作场所职业健康安全的任何变化；</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3.参与职业健康安全的事务的处理。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介绍说，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安全事务代表能履行职责。</w:t>
            </w:r>
          </w:p>
          <w:p>
            <w:pPr>
              <w:adjustRightInd w:val="0"/>
              <w:snapToGrid w:val="0"/>
              <w:spacing w:line="360" w:lineRule="auto"/>
              <w:ind w:right="105" w:rightChars="50" w:firstLine="396" w:firstLineChars="200"/>
              <w:textAlignment w:val="baseline"/>
              <w:rPr>
                <w:rFonts w:ascii="Times New Roman" w:hAnsi="Times New Roman" w:eastAsia="宋体" w:cs="Times New Roman"/>
                <w:color w:val="auto"/>
                <w:kern w:val="2"/>
                <w:sz w:val="21"/>
                <w:lang w:val="en-US" w:eastAsia="zh-CN" w:bidi="ar-SA"/>
              </w:rPr>
            </w:pPr>
            <w:r>
              <w:rPr>
                <w:rFonts w:hint="eastAsia" w:ascii="宋体" w:hAnsi="宋体" w:eastAsia="宋体" w:cs="Arial"/>
                <w:color w:val="auto"/>
                <w:spacing w:val="-6"/>
                <w:sz w:val="21"/>
                <w:szCs w:val="21"/>
                <w:highlight w:val="none"/>
                <w:lang w:val="en-US" w:eastAsia="zh-CN"/>
              </w:rPr>
              <w:t>现有的沟通渠道和方法能满足要求。</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650" w:type="dxa"/>
            <w:vAlign w:val="top"/>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bookmarkStart w:id="2" w:name="_GoBack"/>
            <w:r>
              <w:rPr>
                <w:rFonts w:hint="eastAsia" w:ascii="宋体" w:hAnsi="宋体" w:eastAsia="宋体" w:cs="Arial"/>
                <w:color w:val="auto"/>
                <w:spacing w:val="-6"/>
                <w:sz w:val="21"/>
                <w:szCs w:val="21"/>
                <w:highlight w:val="none"/>
                <w:lang w:val="en-US" w:eastAsia="zh-CN"/>
              </w:rPr>
              <w:t>2022年11月17日</w:t>
            </w:r>
            <w:bookmarkEnd w:id="2"/>
            <w:r>
              <w:rPr>
                <w:rFonts w:hint="eastAsia" w:ascii="宋体" w:hAnsi="宋体" w:eastAsia="宋体" w:cs="Arial"/>
                <w:color w:val="auto"/>
                <w:spacing w:val="-6"/>
                <w:sz w:val="21"/>
                <w:szCs w:val="21"/>
                <w:highlight w:val="none"/>
                <w:lang w:val="en-US" w:eastAsia="zh-CN"/>
              </w:rPr>
              <w:t>在会议室</w:t>
            </w:r>
            <w:r>
              <w:rPr>
                <w:rFonts w:hint="eastAsia" w:ascii="宋体" w:hAnsi="宋体" w:cs="Arial"/>
                <w:color w:val="auto"/>
                <w:spacing w:val="-6"/>
                <w:sz w:val="21"/>
                <w:szCs w:val="21"/>
                <w:highlight w:val="none"/>
                <w:lang w:val="en-US" w:eastAsia="zh-CN"/>
              </w:rPr>
              <w:t>总经理张玖忠</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管理评审输入满足要求，对上次评审提出的整改意见进行了跟踪；</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改进措施建议：2项，包括加强相关方需求的调查工作和加强产品质量的把控等；</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保留有“管理评审改进措施计划”。</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238"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650" w:type="dxa"/>
            <w:vAlign w:val="top"/>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93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keepNext w:val="0"/>
              <w:keepLines w:val="0"/>
              <w:pageBreakBefore w:val="0"/>
              <w:widowControl w:val="0"/>
              <w:kinsoku/>
              <w:wordWrap/>
              <w:overflowPunct/>
              <w:topLinePunct w:val="0"/>
              <w:autoSpaceDE/>
              <w:autoSpaceDN/>
              <w:bidi w:val="0"/>
              <w:spacing w:line="240" w:lineRule="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23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color w:val="auto"/>
                <w:kern w:val="2"/>
                <w:sz w:val="21"/>
                <w:szCs w:val="22"/>
                <w:lang w:val="en-US" w:eastAsia="zh-CN" w:bidi="ar-SA"/>
              </w:rPr>
            </w:pPr>
            <w:r>
              <w:rPr>
                <w:rFonts w:hint="eastAsia" w:ascii="宋体" w:hAnsi="宋体" w:eastAsia="宋体" w:cs="Arial"/>
                <w:spacing w:val="-6"/>
                <w:sz w:val="21"/>
                <w:szCs w:val="21"/>
                <w:lang w:val="en-US" w:eastAsia="zh-CN"/>
              </w:rPr>
              <w:t>未发生重大质量</w:t>
            </w:r>
            <w:r>
              <w:rPr>
                <w:rFonts w:hint="eastAsia" w:ascii="宋体" w:hAnsi="宋体" w:cs="Arial"/>
                <w:spacing w:val="-6"/>
                <w:sz w:val="21"/>
                <w:szCs w:val="21"/>
                <w:lang w:val="en-US" w:eastAsia="zh-CN"/>
              </w:rPr>
              <w:t>、环境</w:t>
            </w:r>
            <w:r>
              <w:rPr>
                <w:rFonts w:hint="eastAsia" w:ascii="宋体" w:hAnsi="宋体" w:eastAsia="宋体" w:cs="Arial"/>
                <w:spacing w:val="-6"/>
                <w:sz w:val="21"/>
                <w:szCs w:val="21"/>
                <w:lang w:val="en-US" w:eastAsia="zh-CN"/>
              </w:rPr>
              <w:t>、安全事故</w:t>
            </w:r>
            <w:r>
              <w:rPr>
                <w:rFonts w:hint="eastAsia" w:ascii="宋体" w:hAnsi="宋体" w:cs="Arial"/>
                <w:spacing w:val="-6"/>
                <w:sz w:val="21"/>
                <w:szCs w:val="21"/>
                <w:lang w:val="en-US" w:eastAsia="zh-CN"/>
              </w:rPr>
              <w:t>，能遵</w:t>
            </w:r>
            <w:r>
              <w:rPr>
                <w:rFonts w:hint="eastAsia" w:ascii="宋体" w:hAnsi="宋体" w:eastAsia="宋体" w:cs="Arial"/>
                <w:spacing w:val="-6"/>
                <w:sz w:val="21"/>
                <w:szCs w:val="21"/>
                <w:lang w:val="en-US" w:eastAsia="zh-CN"/>
              </w:rPr>
              <w:t>守法律法规要求。</w:t>
            </w:r>
          </w:p>
        </w:tc>
        <w:tc>
          <w:tcPr>
            <w:tcW w:w="93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上次</w:t>
            </w:r>
            <w:r>
              <w:rPr>
                <w:rFonts w:hint="eastAsia" w:ascii="宋体" w:hAnsi="宋体" w:cs="Arial"/>
                <w:spacing w:val="-6"/>
                <w:sz w:val="21"/>
                <w:szCs w:val="21"/>
              </w:rPr>
              <w:t>审核不符合项的验证</w:t>
            </w:r>
          </w:p>
        </w:tc>
        <w:tc>
          <w:tcPr>
            <w:tcW w:w="123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Times New Roman" w:hAnsi="Times New Roman" w:eastAsia="宋体" w:cs="Times New Roman"/>
                <w:color w:val="auto"/>
                <w:kern w:val="2"/>
                <w:sz w:val="21"/>
                <w:szCs w:val="22"/>
                <w:lang w:val="en-US" w:eastAsia="zh-CN" w:bidi="ar-SA"/>
              </w:rPr>
            </w:pPr>
            <w:r>
              <w:rPr>
                <w:rFonts w:hint="eastAsia" w:ascii="宋体" w:hAnsi="宋体" w:cs="Arial"/>
                <w:color w:val="auto"/>
                <w:spacing w:val="-6"/>
                <w:sz w:val="21"/>
                <w:szCs w:val="21"/>
                <w:highlight w:val="none"/>
                <w:lang w:val="en-US" w:eastAsia="zh-CN"/>
              </w:rPr>
              <w:t>上次</w:t>
            </w:r>
            <w:r>
              <w:rPr>
                <w:rFonts w:hint="eastAsia" w:ascii="宋体" w:hAnsi="宋体" w:eastAsia="宋体" w:cs="Arial"/>
                <w:color w:val="auto"/>
                <w:spacing w:val="-6"/>
                <w:sz w:val="21"/>
                <w:szCs w:val="21"/>
                <w:highlight w:val="none"/>
                <w:lang w:val="en-US" w:eastAsia="zh-CN"/>
              </w:rPr>
              <w:t>审核时未提出书面问题。</w:t>
            </w:r>
          </w:p>
        </w:tc>
        <w:tc>
          <w:tcPr>
            <w:tcW w:w="93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keepNext w:val="0"/>
              <w:keepLines w:val="0"/>
              <w:pageBreakBefore w:val="0"/>
              <w:widowControl w:val="0"/>
              <w:kinsoku/>
              <w:wordWrap/>
              <w:overflowPunct/>
              <w:topLinePunct w:val="0"/>
              <w:autoSpaceDE/>
              <w:autoSpaceDN/>
              <w:bidi w:val="0"/>
              <w:spacing w:line="240" w:lineRule="auto"/>
              <w:rPr>
                <w:rFonts w:hint="default" w:ascii="宋体" w:hAnsi="宋体" w:eastAsia="宋体" w:cs="Arial"/>
                <w:spacing w:val="-6"/>
                <w:kern w:val="2"/>
                <w:sz w:val="21"/>
                <w:szCs w:val="21"/>
                <w:lang w:val="en-US" w:eastAsia="zh-CN" w:bidi="ar-SA"/>
              </w:rPr>
            </w:pPr>
            <w:r>
              <w:rPr>
                <w:rFonts w:hint="eastAsia" w:ascii="宋体" w:hAnsi="宋体" w:cs="Arial"/>
                <w:sz w:val="21"/>
                <w:szCs w:val="21"/>
              </w:rPr>
              <w:t>认证证书、标志的使用情况</w:t>
            </w:r>
          </w:p>
        </w:tc>
        <w:tc>
          <w:tcPr>
            <w:tcW w:w="123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color w:val="auto"/>
                <w:kern w:val="2"/>
                <w:sz w:val="21"/>
                <w:szCs w:val="22"/>
                <w:lang w:val="en-US" w:eastAsia="zh-CN" w:bidi="ar-SA"/>
              </w:rPr>
            </w:pPr>
            <w:r>
              <w:rPr>
                <w:rFonts w:hint="eastAsia" w:ascii="宋体" w:hAnsi="宋体" w:cs="Arial"/>
                <w:color w:val="auto"/>
                <w:spacing w:val="-6"/>
                <w:sz w:val="21"/>
                <w:szCs w:val="21"/>
                <w:highlight w:val="none"/>
                <w:lang w:val="en-US" w:eastAsia="zh-CN"/>
              </w:rPr>
              <w:t>用于招投标</w:t>
            </w:r>
          </w:p>
        </w:tc>
        <w:tc>
          <w:tcPr>
            <w:tcW w:w="93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0" w:hRule="atLeast"/>
        </w:trPr>
        <w:tc>
          <w:tcPr>
            <w:tcW w:w="1882" w:type="dxa"/>
            <w:vAlign w:val="top"/>
          </w:tcPr>
          <w:p>
            <w:pPr>
              <w:keepNext w:val="0"/>
              <w:keepLines w:val="0"/>
              <w:pageBreakBefore w:val="0"/>
              <w:widowControl w:val="0"/>
              <w:kinsoku/>
              <w:wordWrap/>
              <w:overflowPunct/>
              <w:topLinePunct w:val="0"/>
              <w:autoSpaceDE/>
              <w:autoSpaceDN/>
              <w:bidi w:val="0"/>
              <w:spacing w:line="24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238" w:type="dxa"/>
            <w:vAlign w:val="top"/>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Arial"/>
                <w:spacing w:val="-6"/>
                <w:kern w:val="2"/>
                <w:sz w:val="21"/>
                <w:szCs w:val="21"/>
                <w:lang w:val="en-US" w:eastAsia="zh-CN" w:bidi="ar-SA"/>
              </w:rPr>
            </w:pPr>
          </w:p>
        </w:tc>
        <w:tc>
          <w:tcPr>
            <w:tcW w:w="106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w:t>
            </w:r>
            <w:r>
              <w:rPr>
                <w:rFonts w:hint="eastAsia" w:ascii="宋体" w:hAnsi="宋体" w:eastAsia="宋体" w:cs="Arial"/>
                <w:spacing w:val="-6"/>
                <w:sz w:val="21"/>
                <w:szCs w:val="21"/>
                <w:highlight w:val="none"/>
                <w:lang w:val="en-US" w:eastAsia="zh-CN"/>
              </w:rPr>
              <w:t>以来，未发生相关方的投诉</w:t>
            </w:r>
            <w:r>
              <w:rPr>
                <w:rFonts w:hint="eastAsia" w:ascii="宋体" w:hAnsi="宋体" w:cs="Arial"/>
                <w:spacing w:val="-6"/>
                <w:sz w:val="21"/>
                <w:szCs w:val="21"/>
                <w:highlight w:val="none"/>
                <w:lang w:val="en-US" w:eastAsia="zh-CN"/>
              </w:rPr>
              <w:t>；</w:t>
            </w:r>
            <w:r>
              <w:rPr>
                <w:rFonts w:hint="eastAsia" w:ascii="宋体" w:hAnsi="宋体" w:eastAsia="宋体" w:cs="Arial"/>
                <w:spacing w:val="-6"/>
                <w:sz w:val="21"/>
                <w:szCs w:val="21"/>
                <w:highlight w:val="none"/>
                <w:lang w:val="en-US" w:eastAsia="zh-CN"/>
              </w:rPr>
              <w:t>暂时没有国家/地方抽查情况</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0" w:firstLineChars="200"/>
              <w:textAlignment w:val="baseline"/>
              <w:rPr>
                <w:rFonts w:hint="eastAsia" w:ascii="宋体" w:hAnsi="宋体" w:eastAsia="宋体" w:cs="Arial"/>
                <w:spacing w:val="-6"/>
                <w:kern w:val="2"/>
                <w:sz w:val="21"/>
                <w:szCs w:val="21"/>
                <w:lang w:val="en-US" w:eastAsia="zh-CN" w:bidi="ar-SA"/>
              </w:rPr>
            </w:pPr>
            <w:r>
              <w:rPr>
                <w:rFonts w:hint="eastAsia"/>
                <w:highlight w:val="none"/>
                <w:lang w:val="en-US" w:eastAsia="zh-CN"/>
              </w:rPr>
              <w:t>受到的</w:t>
            </w:r>
            <w:r>
              <w:rPr>
                <w:rFonts w:hint="eastAsia" w:ascii="宋体" w:hAnsi="宋体" w:eastAsia="宋体" w:cs="Arial"/>
                <w:spacing w:val="-6"/>
                <w:sz w:val="21"/>
                <w:szCs w:val="21"/>
                <w:highlight w:val="none"/>
                <w:lang w:val="en-US" w:eastAsia="zh-CN"/>
              </w:rPr>
              <w:t>相关行政主管部门</w:t>
            </w:r>
            <w:r>
              <w:rPr>
                <w:rFonts w:hint="eastAsia" w:ascii="宋体" w:hAnsi="宋体" w:cs="Arial"/>
                <w:spacing w:val="-6"/>
                <w:sz w:val="21"/>
                <w:szCs w:val="21"/>
                <w:highlight w:val="none"/>
                <w:lang w:val="en-US" w:eastAsia="zh-CN"/>
              </w:rPr>
              <w:t>、船厂</w:t>
            </w:r>
            <w:r>
              <w:rPr>
                <w:rFonts w:hint="eastAsia" w:ascii="宋体" w:hAnsi="宋体" w:eastAsia="宋体" w:cs="Arial"/>
                <w:spacing w:val="-6"/>
                <w:sz w:val="21"/>
                <w:szCs w:val="21"/>
                <w:highlight w:val="none"/>
                <w:lang w:val="en-US" w:eastAsia="zh-CN"/>
              </w:rPr>
              <w:t>的检查</w:t>
            </w:r>
            <w:r>
              <w:rPr>
                <w:rFonts w:hint="eastAsia" w:ascii="宋体" w:hAnsi="宋体" w:cs="Arial"/>
                <w:spacing w:val="-6"/>
                <w:sz w:val="21"/>
                <w:szCs w:val="21"/>
                <w:highlight w:val="none"/>
                <w:lang w:val="en-US" w:eastAsia="zh-CN"/>
              </w:rPr>
              <w:t>处理</w:t>
            </w:r>
            <w:r>
              <w:rPr>
                <w:rFonts w:hint="eastAsia" w:ascii="宋体" w:hAnsi="宋体" w:eastAsia="宋体" w:cs="Arial"/>
                <w:spacing w:val="-6"/>
                <w:sz w:val="21"/>
                <w:szCs w:val="21"/>
                <w:highlight w:val="none"/>
                <w:lang w:val="en-US" w:eastAsia="zh-CN"/>
              </w:rPr>
              <w:t>，</w:t>
            </w:r>
            <w:r>
              <w:rPr>
                <w:rFonts w:hint="eastAsia" w:ascii="宋体" w:hAnsi="宋体" w:cs="Arial"/>
                <w:spacing w:val="-6"/>
                <w:sz w:val="21"/>
                <w:szCs w:val="21"/>
                <w:highlight w:val="none"/>
                <w:lang w:val="en-US" w:eastAsia="zh-CN"/>
              </w:rPr>
              <w:t>能及时进行整改</w:t>
            </w:r>
            <w:r>
              <w:rPr>
                <w:rFonts w:hint="eastAsia" w:ascii="宋体" w:hAnsi="宋体" w:eastAsia="宋体" w:cs="Arial"/>
                <w:spacing w:val="-6"/>
                <w:sz w:val="21"/>
                <w:szCs w:val="21"/>
                <w:highlight w:val="none"/>
                <w:lang w:val="en-US" w:eastAsia="zh-CN"/>
              </w:rPr>
              <w:t>。</w:t>
            </w:r>
          </w:p>
        </w:tc>
        <w:tc>
          <w:tcPr>
            <w:tcW w:w="939" w:type="dxa"/>
            <w:vAlign w:val="top"/>
          </w:tcPr>
          <w:p>
            <w:pPr>
              <w:keepNext w:val="0"/>
              <w:keepLines w:val="0"/>
              <w:pageBreakBefore w:val="0"/>
              <w:widowControl w:val="0"/>
              <w:kinsoku/>
              <w:wordWrap/>
              <w:overflowPunct/>
              <w:topLinePunct w:val="0"/>
              <w:autoSpaceDE/>
              <w:autoSpaceDN/>
              <w:bidi w:val="0"/>
              <w:spacing w:line="360" w:lineRule="auto"/>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4225262"/>
    <w:rsid w:val="50265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4906</Words>
  <Characters>5262</Characters>
  <Lines>1</Lines>
  <Paragraphs>1</Paragraphs>
  <TotalTime>6</TotalTime>
  <ScaleCrop>false</ScaleCrop>
  <LinksUpToDate>false</LinksUpToDate>
  <CharactersWithSpaces>5322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2023-02-18T08:13:54Z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6861F7A6545C455FA375F0BDA4AAB01A</vt:lpwstr>
  </property>
  <property fmtid="{D5CDD505-2E9C-101B-9397-08002B2CF9AE}" pid="3" name="KSOProductBuildVer">
    <vt:lpwstr>2052-11.1.0.12980</vt:lpwstr>
  </property>
</Properties>
</file>