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169"/>
        <w:gridCol w:w="10738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951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169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738" w:type="dxa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实验</w:t>
            </w:r>
            <w:r>
              <w:rPr>
                <w:rFonts w:hint="eastAsia"/>
                <w:sz w:val="24"/>
                <w:szCs w:val="24"/>
              </w:rPr>
              <w:t>室         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张鹿</w:t>
            </w:r>
            <w:r>
              <w:rPr>
                <w:rFonts w:hint="eastAsia"/>
                <w:sz w:val="24"/>
                <w:szCs w:val="24"/>
              </w:rPr>
              <w:t xml:space="preserve">         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乔沙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51" w:type="dxa"/>
            <w:vMerge w:val="continue"/>
            <w:vAlign w:val="center"/>
          </w:tcPr>
          <w:p/>
        </w:tc>
        <w:tc>
          <w:tcPr>
            <w:tcW w:w="1169" w:type="dxa"/>
            <w:vMerge w:val="continue"/>
            <w:vAlign w:val="center"/>
          </w:tcPr>
          <w:p/>
        </w:tc>
        <w:tc>
          <w:tcPr>
            <w:tcW w:w="10738" w:type="dxa"/>
            <w:vAlign w:val="center"/>
          </w:tcPr>
          <w:p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 xml:space="preserve">审核员：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伍光华</w:t>
            </w:r>
            <w:r>
              <w:rPr>
                <w:rFonts w:hint="eastAsia"/>
                <w:sz w:val="24"/>
                <w:szCs w:val="24"/>
              </w:rPr>
              <w:t xml:space="preserve">       审核时间：20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1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951" w:type="dxa"/>
            <w:vMerge w:val="continue"/>
            <w:vAlign w:val="center"/>
          </w:tcPr>
          <w:p/>
        </w:tc>
        <w:tc>
          <w:tcPr>
            <w:tcW w:w="1169" w:type="dxa"/>
            <w:vMerge w:val="continue"/>
            <w:vAlign w:val="center"/>
          </w:tcPr>
          <w:p/>
        </w:tc>
        <w:tc>
          <w:tcPr>
            <w:tcW w:w="10738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审核条款：</w:t>
            </w:r>
          </w:p>
          <w:p>
            <w:pPr>
              <w:snapToGrid w:val="0"/>
              <w:spacing w:line="260" w:lineRule="exac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Q:5.3/6.1/6.2/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8.6/8.7/9.1/</w:t>
            </w:r>
            <w:r>
              <w:rPr>
                <w:rFonts w:ascii="宋体" w:hAnsi="宋体" w:cs="宋体"/>
                <w:bCs/>
                <w:sz w:val="21"/>
                <w:szCs w:val="21"/>
              </w:rPr>
              <w:t>9.1.3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/10.2</w:t>
            </w:r>
          </w:p>
          <w:p>
            <w:pPr>
              <w:snapToGrid w:val="0"/>
              <w:spacing w:line="260" w:lineRule="exac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E:5.3/6.1.1/6.2/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6.1.2/6.1.3</w:t>
            </w:r>
            <w:r>
              <w:rPr>
                <w:rFonts w:hint="eastAsia" w:ascii="宋体" w:hAnsi="宋体" w:cs="宋体"/>
                <w:sz w:val="21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6.1.4</w:t>
            </w:r>
            <w:r>
              <w:rPr>
                <w:rFonts w:hint="eastAsia" w:ascii="宋体" w:hAnsi="宋体" w:cs="宋体"/>
                <w:sz w:val="21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8.1</w:t>
            </w:r>
            <w:r>
              <w:rPr>
                <w:rFonts w:hint="eastAsia" w:ascii="宋体" w:hAnsi="宋体" w:cs="宋体"/>
                <w:sz w:val="21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8.2</w:t>
            </w:r>
            <w:r>
              <w:rPr>
                <w:rFonts w:hint="eastAsia" w:ascii="宋体" w:hAnsi="宋体" w:cs="宋体"/>
                <w:sz w:val="21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10.2</w:t>
            </w:r>
          </w:p>
          <w:p>
            <w:pPr>
              <w:spacing w:line="260" w:lineRule="exact"/>
              <w:jc w:val="left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S:5.3/6.1.2/6.1.3/6.1.4/6.2/8.1.2/8.1.3/8.1.4/8.2</w:t>
            </w:r>
            <w:r>
              <w:rPr>
                <w:rFonts w:hint="eastAsia" w:ascii="宋体" w:hAnsi="宋体" w:cs="宋体"/>
                <w:bCs/>
                <w:sz w:val="21"/>
                <w:szCs w:val="21"/>
                <w:lang w:val="en-US" w:eastAsia="zh-CN"/>
              </w:rPr>
              <w:t>/10.2</w:t>
            </w:r>
          </w:p>
        </w:tc>
        <w:tc>
          <w:tcPr>
            <w:tcW w:w="851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951" w:type="dxa"/>
          </w:tcPr>
          <w:p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询查部门及人员的职责和权限，是否与规定一致？</w:t>
            </w:r>
          </w:p>
        </w:tc>
        <w:tc>
          <w:tcPr>
            <w:tcW w:w="1169" w:type="dxa"/>
          </w:tcPr>
          <w:p>
            <w:pPr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QES5.3</w:t>
            </w:r>
          </w:p>
          <w:p/>
        </w:tc>
        <w:tc>
          <w:tcPr>
            <w:tcW w:w="10738" w:type="dxa"/>
          </w:tcPr>
          <w:p>
            <w:pPr>
              <w:spacing w:line="360" w:lineRule="auto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查《管理手册》中的职能分配表和手册中规定：对职能部门和各类人员的职责和权限做了规定，同时制定了部门职责及员工岗位说明书，符合规定要求。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实验室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主管领导：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张鹿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，另有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实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验员、检验员，具体负责产品检验与试验、不合格品控制与处理、产品放行、纠正措施控制、预防措施控制、危险源、环境因素识别及评价控制、目标指标和管理方案控制、运行控制、应急准备和响应控制、日常办公活动等，</w:t>
            </w:r>
          </w:p>
          <w:p>
            <w:pPr>
              <w:ind w:firstLine="210" w:firstLineChars="100"/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现场与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实验室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主管领导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杨高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沟通，对本部门的责和权限比较了解，基本符合。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应对风险和机遇的措施</w:t>
            </w:r>
          </w:p>
          <w:p/>
        </w:tc>
        <w:tc>
          <w:tcPr>
            <w:tcW w:w="1169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6.1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ES6.1.1</w:t>
            </w:r>
          </w:p>
          <w:p/>
        </w:tc>
        <w:tc>
          <w:tcPr>
            <w:tcW w:w="10738" w:type="dxa"/>
          </w:tcPr>
          <w:p>
            <w:pPr>
              <w:numPr>
                <w:ilvl w:val="3"/>
                <w:numId w:val="0"/>
              </w:num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用过程方法及风险评价识别了本部门的质量、环境、职业健康安全风险及应对措施的策划，有《风险识别及措施表》、《质量管理风险、机遇及应对措施》，将需要应对的风险和机遇进行风险分析确定风险级别（一般风险、高风险），在质量管理体系所确定的过程（生产制造、合同评审过程；产品交付；顾客服务；人力资源控制等）中，整合制定针对性管理措施（如程序控制等）。</w:t>
            </w:r>
          </w:p>
          <w:p>
            <w:pPr>
              <w:spacing w:line="360" w:lineRule="auto"/>
              <w:ind w:firstLine="420" w:firstLineChars="200"/>
              <w:rPr>
                <w:color w:val="FF0000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进行了措施有效性的评审，结果为有效，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评审人员：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景运清、李涛、乔沙、朱凯</w:t>
            </w:r>
            <w:r>
              <w:rPr>
                <w:rFonts w:hint="eastAsia" w:asciiTheme="minorEastAsia" w:hAnsiTheme="minorEastAsia" w:eastAsiaTheme="minorEastAsia"/>
                <w:color w:val="auto"/>
                <w:sz w:val="21"/>
                <w:szCs w:val="21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，审核日期20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目标及其实现的策划总要求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9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QES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6.2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0738" w:type="dxa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公司目标管理规定，规定了目标的分解及考核的具体方法，公司对质量目标进行了分解，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部门目标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        </w:t>
            </w:r>
            <w:r>
              <w:drawing>
                <wp:inline distT="0" distB="0" distL="114300" distR="114300">
                  <wp:extent cx="2723515" cy="1285875"/>
                  <wp:effectExtent l="0" t="0" r="6985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-198" r="29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          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与方针一致，符合公司总的质量、环境、职业健康安全目标，20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23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24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日 ，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乔沙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进行了统计及目标实现分析，经查，达成目标，并将管理目标完成情况在公司会议上进行通报。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产品的服务和放行</w:t>
            </w:r>
          </w:p>
        </w:tc>
        <w:tc>
          <w:tcPr>
            <w:tcW w:w="1169" w:type="dxa"/>
          </w:tcPr>
          <w:p>
            <w:pPr>
              <w:pStyle w:val="8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Q8.6</w:t>
            </w:r>
          </w:p>
          <w:p>
            <w:pPr>
              <w:pStyle w:val="8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S 8.1.4</w:t>
            </w:r>
          </w:p>
        </w:tc>
        <w:tc>
          <w:tcPr>
            <w:tcW w:w="10738" w:type="dxa"/>
          </w:tcPr>
          <w:p>
            <w:pPr>
              <w:spacing w:line="360" w:lineRule="auto"/>
              <w:ind w:firstLine="210" w:firstLineChars="100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制定有：过程/产品服务的监视和测量控制程序对工作程序、检验分类、采购产品、半成品、成品检验和检验记录等做出了明确规定。试验室（质检）根据产品实现过程监视和测量策划的结果，按体系文件、公司规定确定的监视和测量点进行监视和测量作好监测记录，实施进货、过程和最终（成品）检验，并保持记录。见证：1、原材料进货检验规程、过程和最终（成品）检验规程，规定了检验项目、工作程序、记录要求、最终检验项目及标准等。编制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杨高</w:t>
            </w:r>
            <w:r>
              <w:rPr>
                <w:rFonts w:hint="eastAsia" w:ascii="宋体" w:hAnsi="宋体" w:cs="宋体"/>
                <w:szCs w:val="21"/>
              </w:rPr>
              <w:t>。审批：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张咸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以上文件，由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实验</w:t>
            </w:r>
            <w:r>
              <w:rPr>
                <w:rFonts w:hint="eastAsia" w:ascii="宋体" w:hAnsi="宋体" w:cs="宋体"/>
                <w:szCs w:val="21"/>
              </w:rPr>
              <w:t>结合不同产品制定并执行。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查进货检验记录:</w:t>
            </w:r>
            <w:r>
              <w:t>--</w:t>
            </w:r>
            <w:r>
              <w:rPr>
                <w:rFonts w:hint="eastAsia"/>
                <w:b/>
                <w:bCs/>
              </w:rPr>
              <w:t>抽查进货检验记录和库房入库单</w:t>
            </w:r>
          </w:p>
          <w:p>
            <w:pPr>
              <w:ind w:left="-315" w:leftChars="-150" w:firstLine="632" w:firstLineChars="300"/>
              <w:rPr>
                <w:rFonts w:ascii="宋体"/>
              </w:rPr>
            </w:pPr>
            <w:r>
              <w:rPr>
                <w:rFonts w:hint="eastAsia"/>
                <w:b/>
                <w:bCs/>
              </w:rPr>
              <w:t>抽</w:t>
            </w:r>
            <w:r>
              <w:rPr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：</w:t>
            </w:r>
          </w:p>
          <w:p>
            <w:pPr>
              <w:ind w:left="-315" w:leftChars="-150" w:firstLine="630" w:firstLineChars="300"/>
              <w:rPr>
                <w:rFonts w:ascii="宋体"/>
              </w:rPr>
            </w:pPr>
            <w:r>
              <w:rPr>
                <w:rFonts w:hint="eastAsia" w:ascii="宋体" w:hAnsi="宋体"/>
              </w:rPr>
              <w:t>原材料</w:t>
            </w:r>
            <w:r>
              <w:rPr>
                <w:rFonts w:ascii="宋体" w:hAnsi="宋体"/>
              </w:rPr>
              <w:t>(</w:t>
            </w:r>
            <w:r>
              <w:rPr>
                <w:rFonts w:hint="eastAsia" w:ascii="宋体" w:hAnsi="宋体"/>
              </w:rPr>
              <w:t>外购件</w:t>
            </w:r>
            <w:r>
              <w:rPr>
                <w:rFonts w:ascii="宋体" w:hAnsi="宋体"/>
              </w:rPr>
              <w:t xml:space="preserve">) </w:t>
            </w:r>
            <w:r>
              <w:rPr>
                <w:rFonts w:hint="eastAsia" w:ascii="宋体" w:hAnsi="宋体"/>
              </w:rPr>
              <w:t>验证</w:t>
            </w:r>
            <w:r>
              <w:rPr>
                <w:rFonts w:ascii="宋体" w:hAnsi="宋体"/>
              </w:rPr>
              <w:t>/</w:t>
            </w:r>
            <w:r>
              <w:rPr>
                <w:rFonts w:hint="eastAsia" w:ascii="宋体" w:hAnsi="宋体"/>
              </w:rPr>
              <w:t>检验记录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产品名称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  <w:lang w:val="en-US" w:eastAsia="zh-CN"/>
              </w:rPr>
              <w:t xml:space="preserve">  矿渣粉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型号规格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   </w:t>
            </w:r>
            <w:r>
              <w:rPr>
                <w:rFonts w:hint="eastAsia" w:ascii="宋体" w:hAnsi="宋体" w:cs="宋体"/>
                <w:lang w:val="en-US" w:eastAsia="zh-CN"/>
              </w:rPr>
              <w:t>S95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生产厂家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  <w:lang w:val="en-US" w:eastAsia="zh-CN"/>
              </w:rPr>
              <w:t xml:space="preserve"> 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武汉武新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</w:t>
            </w:r>
            <w:r>
              <w:rPr>
                <w:rFonts w:hint="eastAsia" w:ascii="宋体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/>
              </w:rPr>
              <w:t>生产日期</w:t>
            </w:r>
            <w:r>
              <w:rPr>
                <w:rFonts w:hint="eastAsia" w:ascii="宋体" w:hAnsi="宋体"/>
                <w:lang w:val="en-US" w:eastAsia="zh-CN"/>
              </w:rPr>
              <w:t>2023.2.1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/>
              </w:rPr>
              <w:t>检验项目</w:t>
            </w:r>
            <w:r>
              <w:rPr>
                <w:rFonts w:ascii="宋体"/>
              </w:rPr>
              <w:tab/>
            </w:r>
            <w:r>
              <w:rPr>
                <w:rFonts w:ascii="宋体" w:hAnsi="宋体"/>
              </w:rPr>
              <w:t xml:space="preserve">        </w:t>
            </w:r>
            <w:r>
              <w:rPr>
                <w:rFonts w:hint="eastAsia" w:ascii="宋体" w:hAnsi="宋体"/>
              </w:rPr>
              <w:t>规格值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测试值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  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比表面积</w:t>
            </w:r>
            <w:r>
              <w:rPr>
                <w:rFonts w:hint="eastAsia" w:ascii="宋体" w:hAnsi="宋体"/>
              </w:rPr>
              <w:t xml:space="preserve">            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≧</w:t>
            </w:r>
            <w:r>
              <w:rPr>
                <w:rFonts w:hint="eastAsia" w:ascii="宋体" w:hAnsi="宋体"/>
                <w:lang w:val="en-US" w:eastAsia="zh-CN"/>
              </w:rPr>
              <w:t>400</w:t>
            </w:r>
            <w:r>
              <w:rPr>
                <w:rFonts w:hint="eastAsia" w:ascii="宋体" w:hAnsi="宋体"/>
              </w:rPr>
              <w:t xml:space="preserve">       </w:t>
            </w:r>
            <w:r>
              <w:rPr>
                <w:rFonts w:hint="eastAsia" w:ascii="宋体" w:hAnsi="宋体"/>
                <w:lang w:val="en-US" w:eastAsia="zh-CN"/>
              </w:rPr>
              <w:t>428</w:t>
            </w:r>
            <w:r>
              <w:rPr>
                <w:rFonts w:hint="eastAsia" w:ascii="宋体" w:hAnsi="宋体"/>
              </w:rPr>
              <w:t xml:space="preserve">           </w:t>
            </w:r>
          </w:p>
          <w:p>
            <w:pPr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活性指数 7D          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≧</w:t>
            </w:r>
            <w:r>
              <w:rPr>
                <w:rFonts w:hint="eastAsia" w:ascii="宋体" w:hAnsi="宋体"/>
                <w:lang w:val="en-US" w:eastAsia="zh-CN"/>
              </w:rPr>
              <w:t>55</w:t>
            </w:r>
            <w:r>
              <w:rPr>
                <w:rFonts w:hint="eastAsia" w:ascii="宋体" w:hAnsi="宋体"/>
              </w:rPr>
              <w:t xml:space="preserve">        </w:t>
            </w:r>
            <w:r>
              <w:rPr>
                <w:rFonts w:hint="eastAsia" w:ascii="宋体" w:hAnsi="宋体"/>
                <w:lang w:val="en-US" w:eastAsia="zh-CN"/>
              </w:rPr>
              <w:t>73</w:t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活性指数 28D          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≧</w:t>
            </w:r>
            <w:r>
              <w:rPr>
                <w:rFonts w:hint="eastAsia" w:ascii="宋体" w:hAnsi="宋体"/>
                <w:lang w:val="en-US" w:eastAsia="zh-CN"/>
              </w:rPr>
              <w:t>75</w:t>
            </w:r>
            <w:r>
              <w:rPr>
                <w:rFonts w:hint="eastAsia" w:ascii="宋体" w:hAnsi="宋体"/>
              </w:rPr>
              <w:t xml:space="preserve">       </w:t>
            </w:r>
            <w:r>
              <w:rPr>
                <w:rFonts w:hint="eastAsia" w:ascii="宋体" w:hAnsi="宋体"/>
                <w:lang w:val="en-US" w:eastAsia="zh-CN"/>
              </w:rPr>
              <w:t>100</w:t>
            </w:r>
          </w:p>
          <w:p>
            <w:pPr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流动比                 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≧</w:t>
            </w:r>
            <w:r>
              <w:rPr>
                <w:rFonts w:hint="eastAsia" w:ascii="宋体" w:hAnsi="宋体"/>
                <w:lang w:val="en-US" w:eastAsia="zh-CN"/>
              </w:rPr>
              <w:t>90      103</w:t>
            </w:r>
          </w:p>
          <w:p>
            <w:pPr>
              <w:ind w:left="-315" w:leftChars="-150" w:firstLine="630" w:firstLineChars="300"/>
              <w:rPr>
                <w:rFonts w:ascii="宋体"/>
              </w:rPr>
            </w:pPr>
            <w:r>
              <w:rPr>
                <w:rFonts w:hint="eastAsia" w:ascii="宋体" w:hAnsi="宋体"/>
              </w:rPr>
              <w:t>验证结论：符合</w:t>
            </w:r>
            <w:r>
              <w:rPr>
                <w:rFonts w:hint="eastAsia" w:ascii="宋体" w:hAnsi="宋体"/>
                <w:lang w:val="en-US" w:eastAsia="zh-CN"/>
              </w:rPr>
              <w:t>GB</w:t>
            </w:r>
            <w:r>
              <w:rPr>
                <w:rFonts w:hint="eastAsia" w:ascii="宋体" w:hAnsi="宋体"/>
              </w:rPr>
              <w:t>T</w:t>
            </w:r>
            <w:r>
              <w:rPr>
                <w:rFonts w:hint="eastAsia" w:ascii="宋体" w:hAnsi="宋体"/>
                <w:lang w:val="en-US" w:eastAsia="zh-CN"/>
              </w:rPr>
              <w:t>18046</w:t>
            </w:r>
            <w:r>
              <w:rPr>
                <w:rFonts w:hint="eastAsia" w:ascii="宋体" w:hAnsi="宋体"/>
              </w:rPr>
              <w:t>-20</w:t>
            </w:r>
            <w:r>
              <w:rPr>
                <w:rFonts w:hint="eastAsia" w:ascii="宋体" w:hAnsi="宋体"/>
                <w:lang w:val="en-US" w:eastAsia="zh-CN"/>
              </w:rPr>
              <w:t>17</w:t>
            </w:r>
            <w:r>
              <w:rPr>
                <w:rFonts w:hint="eastAsia" w:ascii="宋体" w:hAnsi="宋体"/>
              </w:rPr>
              <w:t>要求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检验员：</w:t>
            </w:r>
            <w:r>
              <w:rPr>
                <w:rFonts w:hint="eastAsia" w:ascii="宋体" w:hAnsi="宋体"/>
                <w:lang w:val="en-US" w:eastAsia="zh-CN"/>
              </w:rPr>
              <w:t>周晴</w:t>
            </w:r>
            <w:r>
              <w:rPr>
                <w:rFonts w:ascii="宋体" w:hAnsi="宋体"/>
              </w:rPr>
              <w:t xml:space="preserve">  </w:t>
            </w:r>
            <w:r>
              <w:rPr>
                <w:rFonts w:hint="eastAsia" w:ascii="宋体" w:hAnsi="宋体"/>
              </w:rPr>
              <w:t>日期：</w:t>
            </w:r>
            <w:r>
              <w:rPr>
                <w:rFonts w:ascii="宋体" w:hAnsi="宋体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23.2.3</w:t>
            </w:r>
          </w:p>
          <w:p>
            <w:pPr>
              <w:ind w:firstLine="211" w:firstLineChars="100"/>
              <w:rPr>
                <w:rFonts w:asci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抽</w:t>
            </w:r>
            <w:r>
              <w:rPr>
                <w:rFonts w:hint="eastAsia" w:ascii="宋体" w:hAnsi="宋体"/>
                <w:b/>
                <w:bCs/>
                <w:lang w:val="en-US" w:eastAsia="zh-CN"/>
              </w:rPr>
              <w:t>2</w:t>
            </w:r>
            <w:r>
              <w:rPr>
                <w:rFonts w:hint="eastAsia" w:ascii="宋体" w:hAnsi="宋体"/>
                <w:b/>
                <w:bCs/>
              </w:rPr>
              <w:t>：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产品名称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</w:t>
            </w:r>
            <w:r>
              <w:rPr>
                <w:rFonts w:hint="eastAsia" w:ascii="宋体"/>
                <w:lang w:val="en-US" w:eastAsia="zh-CN"/>
              </w:rPr>
              <w:t>高效减水剂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型号规格</w:t>
            </w:r>
            <w:r>
              <w:rPr>
                <w:rFonts w:hint="eastAsia" w:ascii="宋体" w:hAnsi="宋体"/>
                <w:lang w:val="en-US" w:eastAsia="zh-CN"/>
              </w:rPr>
              <w:t>JSS-BM-A01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生产厂家</w:t>
            </w:r>
            <w:r>
              <w:rPr>
                <w:rFonts w:ascii="宋体"/>
              </w:rPr>
              <w:tab/>
            </w:r>
            <w:r>
              <w:rPr>
                <w:rFonts w:ascii="宋体"/>
              </w:rPr>
              <w:tab/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华烁科技股份</w:t>
            </w:r>
            <w:r>
              <w:rPr>
                <w:rFonts w:hint="eastAsia" w:ascii="宋体"/>
              </w:rPr>
              <w:t xml:space="preserve">      </w:t>
            </w:r>
            <w:r>
              <w:rPr>
                <w:rFonts w:hint="eastAsia" w:ascii="宋体" w:hAnsi="宋体"/>
              </w:rPr>
              <w:t>生产日期</w:t>
            </w:r>
            <w:r>
              <w:rPr>
                <w:rFonts w:ascii="宋体"/>
              </w:rPr>
              <w:tab/>
            </w:r>
            <w:r>
              <w:rPr>
                <w:rFonts w:ascii="宋体" w:hAnsi="宋体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23.1.10</w:t>
            </w:r>
          </w:p>
          <w:p>
            <w:pPr>
              <w:rPr>
                <w:rFonts w:ascii="宋体"/>
              </w:rPr>
            </w:pPr>
            <w:r>
              <w:rPr>
                <w:rFonts w:hint="eastAsia" w:ascii="宋体" w:hAnsi="宋体"/>
              </w:rPr>
              <w:t>检验项目</w:t>
            </w:r>
            <w:r>
              <w:rPr>
                <w:rFonts w:ascii="宋体"/>
              </w:rPr>
              <w:tab/>
            </w:r>
            <w:r>
              <w:rPr>
                <w:rFonts w:ascii="宋体" w:hAnsi="宋体"/>
              </w:rPr>
              <w:t xml:space="preserve">        </w:t>
            </w:r>
            <w:r>
              <w:rPr>
                <w:rFonts w:hint="eastAsia" w:ascii="宋体" w:hAnsi="宋体"/>
              </w:rPr>
              <w:t>规格值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测试值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  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  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固含量</w:t>
            </w:r>
            <w:r>
              <w:rPr>
                <w:rFonts w:hint="eastAsia" w:ascii="宋体" w:hAnsi="宋体"/>
              </w:rPr>
              <w:t xml:space="preserve">             </w:t>
            </w:r>
            <w:r>
              <w:rPr>
                <w:rFonts w:hint="eastAsia" w:ascii="宋体" w:hAnsi="宋体"/>
                <w:lang w:val="en-US" w:eastAsia="zh-CN"/>
              </w:rPr>
              <w:t>6.0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±</w:t>
            </w:r>
            <w:r>
              <w:rPr>
                <w:rFonts w:hint="eastAsia" w:ascii="宋体" w:hAnsi="宋体" w:cs="宋体"/>
                <w:lang w:val="en-US" w:eastAsia="zh-CN"/>
              </w:rPr>
              <w:t>1.0        5.8</w:t>
            </w:r>
            <w:r>
              <w:rPr>
                <w:rFonts w:hint="eastAsia" w:ascii="宋体" w:hAnsi="宋体"/>
              </w:rPr>
              <w:t xml:space="preserve">           </w:t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 xml:space="preserve">密度              </w:t>
            </w:r>
            <w:r>
              <w:rPr>
                <w:rFonts w:hint="eastAsia" w:ascii="宋体" w:hAnsi="宋体"/>
                <w:lang w:val="en-US" w:eastAsia="zh-CN"/>
              </w:rPr>
              <w:t>1.012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±</w:t>
            </w:r>
            <w:r>
              <w:rPr>
                <w:rFonts w:hint="eastAsia" w:ascii="宋体" w:hAnsi="宋体" w:cs="宋体"/>
                <w:lang w:val="en-US" w:eastAsia="zh-CN"/>
              </w:rPr>
              <w:t>0.020     1.0</w:t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净浆流动度</w:t>
            </w:r>
            <w:r>
              <w:rPr>
                <w:rFonts w:hint="eastAsia" w:ascii="宋体" w:hAnsi="宋体"/>
              </w:rPr>
              <w:t xml:space="preserve">       </w:t>
            </w: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≧</w:t>
            </w:r>
            <w:r>
              <w:rPr>
                <w:rFonts w:hint="eastAsia" w:ascii="宋体" w:hAnsi="宋体"/>
                <w:lang w:val="en-US" w:eastAsia="zh-CN"/>
              </w:rPr>
              <w:t>240</w:t>
            </w:r>
            <w:r>
              <w:rPr>
                <w:rFonts w:hint="eastAsia" w:ascii="宋体" w:hAnsi="宋体"/>
              </w:rPr>
              <w:t xml:space="preserve">        </w:t>
            </w:r>
            <w:r>
              <w:rPr>
                <w:rFonts w:hint="eastAsia" w:ascii="宋体" w:hAnsi="宋体"/>
                <w:lang w:val="en-US" w:eastAsia="zh-CN"/>
              </w:rPr>
              <w:t>245.0</w:t>
            </w:r>
          </w:p>
          <w:p>
            <w:pPr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减水率</w:t>
            </w:r>
            <w:r>
              <w:rPr>
                <w:rFonts w:hint="eastAsia" w:ascii="宋体" w:hAnsi="宋体"/>
              </w:rPr>
              <w:t xml:space="preserve">          </w:t>
            </w:r>
            <w:r>
              <w:rPr>
                <w:rFonts w:hint="eastAsia" w:ascii="宋体" w:hAnsi="宋体"/>
                <w:lang w:val="en-US" w:eastAsia="zh-CN"/>
              </w:rPr>
              <w:t xml:space="preserve">     20-30</w:t>
            </w:r>
            <w:r>
              <w:rPr>
                <w:rFonts w:hint="eastAsia" w:ascii="宋体" w:hAnsi="宋体"/>
              </w:rPr>
              <w:t xml:space="preserve">       </w:t>
            </w:r>
            <w:r>
              <w:rPr>
                <w:rFonts w:hint="eastAsia" w:ascii="宋体" w:hAnsi="宋体"/>
                <w:lang w:val="en-US" w:eastAsia="zh-CN"/>
              </w:rPr>
              <w:t xml:space="preserve">  26</w:t>
            </w:r>
          </w:p>
          <w:p>
            <w:pPr>
              <w:ind w:left="-315" w:leftChars="-150" w:firstLine="630" w:firstLineChars="300"/>
              <w:rPr>
                <w:rFonts w:ascii="宋体"/>
              </w:rPr>
            </w:pPr>
            <w:r>
              <w:rPr>
                <w:rFonts w:hint="eastAsia" w:ascii="宋体" w:hAnsi="宋体"/>
              </w:rPr>
              <w:t>验证结论：符合</w:t>
            </w:r>
            <w:r>
              <w:rPr>
                <w:rFonts w:hint="eastAsia" w:ascii="宋体" w:hAnsi="宋体"/>
                <w:lang w:val="en-US" w:eastAsia="zh-CN"/>
              </w:rPr>
              <w:t>GB8076</w:t>
            </w:r>
            <w:r>
              <w:rPr>
                <w:rFonts w:hint="eastAsia" w:ascii="宋体" w:hAnsi="宋体"/>
              </w:rPr>
              <w:t>-200</w:t>
            </w:r>
            <w:r>
              <w:rPr>
                <w:rFonts w:hint="eastAsia" w:ascii="宋体" w:hAnsi="宋体"/>
                <w:lang w:val="en-US" w:eastAsia="zh-CN"/>
              </w:rPr>
              <w:t>8</w:t>
            </w:r>
            <w:r>
              <w:rPr>
                <w:rFonts w:hint="eastAsia" w:ascii="宋体" w:hAnsi="宋体"/>
              </w:rPr>
              <w:t>要求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检验员：</w:t>
            </w:r>
            <w:r>
              <w:rPr>
                <w:rFonts w:hint="eastAsia" w:ascii="宋体" w:hAnsi="宋体"/>
                <w:lang w:val="en-US" w:eastAsia="zh-CN"/>
              </w:rPr>
              <w:t>周晴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hint="eastAsia" w:ascii="宋体" w:hAnsi="宋体"/>
              </w:rPr>
              <w:t>日期：</w:t>
            </w:r>
            <w:r>
              <w:rPr>
                <w:rFonts w:ascii="宋体" w:hAnsi="宋体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23.1.15</w:t>
            </w:r>
          </w:p>
          <w:p>
            <w:pPr>
              <w:ind w:left="-315" w:leftChars="-150" w:firstLine="632" w:firstLineChars="300"/>
              <w:rPr>
                <w:rFonts w:ascii="宋体"/>
                <w:b/>
                <w:bCs/>
              </w:rPr>
            </w:pPr>
          </w:p>
          <w:p>
            <w:pPr>
              <w:ind w:left="-315" w:leftChars="-150" w:firstLine="632" w:firstLineChars="300"/>
              <w:rPr>
                <w:rFonts w:hint="eastAsia" w:ascii="宋体" w:eastAsia="宋体"/>
                <w:b/>
                <w:bCs/>
                <w:lang w:eastAsia="zh-CN"/>
              </w:rPr>
            </w:pPr>
            <w:r>
              <w:rPr>
                <w:rFonts w:hint="eastAsia" w:ascii="宋体" w:hAnsi="宋体"/>
                <w:b/>
                <w:bCs/>
              </w:rPr>
              <w:t>抽</w:t>
            </w:r>
            <w:r>
              <w:rPr>
                <w:rFonts w:hint="eastAsia" w:ascii="宋体" w:hAnsi="宋体"/>
                <w:b/>
                <w:bCs/>
                <w:lang w:val="en-US" w:eastAsia="zh-CN"/>
              </w:rPr>
              <w:t>3</w:t>
            </w:r>
          </w:p>
          <w:p>
            <w:pPr>
              <w:ind w:left="-315" w:leftChars="-150" w:firstLine="630" w:firstLineChars="300"/>
              <w:rPr>
                <w:rFonts w:ascii="宋体"/>
              </w:rPr>
            </w:pPr>
            <w:r>
              <w:rPr>
                <w:rFonts w:hint="eastAsia" w:ascii="宋体" w:hAnsi="宋体"/>
              </w:rPr>
              <w:t>原材料</w:t>
            </w:r>
            <w:r>
              <w:rPr>
                <w:rFonts w:ascii="宋体" w:hAnsi="宋体"/>
              </w:rPr>
              <w:t>(</w:t>
            </w:r>
            <w:r>
              <w:rPr>
                <w:rFonts w:hint="eastAsia" w:ascii="宋体" w:hAnsi="宋体"/>
              </w:rPr>
              <w:t>外购件</w:t>
            </w:r>
            <w:r>
              <w:rPr>
                <w:rFonts w:ascii="宋体" w:hAnsi="宋体"/>
              </w:rPr>
              <w:t xml:space="preserve">) </w:t>
            </w:r>
            <w:r>
              <w:rPr>
                <w:rFonts w:hint="eastAsia" w:ascii="宋体" w:hAnsi="宋体"/>
              </w:rPr>
              <w:t>验证</w:t>
            </w:r>
            <w:r>
              <w:rPr>
                <w:rFonts w:ascii="宋体" w:hAnsi="宋体"/>
              </w:rPr>
              <w:t>/</w:t>
            </w:r>
            <w:r>
              <w:rPr>
                <w:rFonts w:hint="eastAsia" w:ascii="宋体" w:hAnsi="宋体"/>
              </w:rPr>
              <w:t>检验记录</w:t>
            </w:r>
          </w:p>
          <w:p>
            <w:pPr>
              <w:ind w:left="-315" w:leftChars="-150" w:firstLine="630" w:firstLineChars="300"/>
              <w:rPr>
                <w:rFonts w:ascii="宋体"/>
              </w:rPr>
            </w:pPr>
            <w:r>
              <w:rPr>
                <w:rFonts w:hint="eastAsia" w:ascii="宋体" w:hAnsi="宋体"/>
              </w:rPr>
              <w:t>产品名称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砂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型号规格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      </w:t>
            </w:r>
            <w:r>
              <w:rPr>
                <w:rFonts w:hint="eastAsia" w:ascii="宋体" w:hAnsi="宋体"/>
              </w:rPr>
              <w:t>中粗砂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生产厂家</w:t>
            </w:r>
            <w:r>
              <w:rPr>
                <w:rFonts w:ascii="宋体"/>
              </w:rPr>
              <w:tab/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  <w:lang w:val="en-US" w:eastAsia="zh-CN"/>
              </w:rPr>
              <w:t>江厦</w:t>
            </w:r>
            <w:r>
              <w:rPr>
                <w:rFonts w:hint="eastAsia" w:ascii="宋体"/>
              </w:rPr>
              <w:t xml:space="preserve">     </w:t>
            </w:r>
            <w:r>
              <w:rPr>
                <w:rFonts w:hint="eastAsia" w:ascii="宋体" w:hAnsi="宋体"/>
              </w:rPr>
              <w:t>生产日期</w:t>
            </w:r>
            <w:r>
              <w:rPr>
                <w:rFonts w:ascii="宋体"/>
              </w:rPr>
              <w:tab/>
            </w:r>
            <w:r>
              <w:rPr>
                <w:rFonts w:ascii="宋体" w:hAnsi="宋体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23.2.17</w:t>
            </w:r>
          </w:p>
          <w:p>
            <w:pPr>
              <w:rPr>
                <w:rFonts w:ascii="宋体"/>
              </w:rPr>
            </w:pPr>
            <w:r>
              <w:rPr>
                <w:rFonts w:hint="eastAsia" w:ascii="宋体" w:hAnsi="宋体"/>
              </w:rPr>
              <w:t>检验项目</w:t>
            </w:r>
            <w:r>
              <w:rPr>
                <w:rFonts w:ascii="宋体"/>
              </w:rPr>
              <w:tab/>
            </w:r>
            <w:r>
              <w:rPr>
                <w:rFonts w:ascii="宋体" w:hAnsi="宋体"/>
              </w:rPr>
              <w:t xml:space="preserve">        </w:t>
            </w:r>
            <w:r>
              <w:rPr>
                <w:rFonts w:hint="eastAsia" w:ascii="宋体" w:hAnsi="宋体"/>
              </w:rPr>
              <w:t>规格值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</w:t>
            </w:r>
            <w:r>
              <w:rPr>
                <w:rFonts w:hint="eastAsia" w:ascii="宋体" w:hAnsi="宋体"/>
              </w:rPr>
              <w:t>测试值</w:t>
            </w:r>
            <w:r>
              <w:rPr>
                <w:rFonts w:ascii="宋体"/>
              </w:rPr>
              <w:tab/>
            </w:r>
            <w:r>
              <w:rPr>
                <w:rFonts w:hint="eastAsia" w:ascii="宋体"/>
              </w:rPr>
              <w:t xml:space="preserve">      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细度模块                        2.8           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表观密度试验                    2560kg/m3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堆积密度试验       1400         1460kg/m3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含泥量试验          ≤3.0%        2.1%</w:t>
            </w:r>
          </w:p>
          <w:p>
            <w:pPr>
              <w:rPr>
                <w:rFonts w:ascii="宋体"/>
              </w:rPr>
            </w:pPr>
            <w:r>
              <w:rPr>
                <w:rFonts w:hint="eastAsia" w:ascii="宋体" w:hAnsi="宋体"/>
              </w:rPr>
              <w:t>泥块含量试验        ≤1.0%           0.5%</w:t>
            </w:r>
          </w:p>
          <w:p>
            <w:pPr>
              <w:ind w:left="-315" w:leftChars="-150" w:firstLine="630" w:firstLineChars="300"/>
              <w:rPr>
                <w:rFonts w:ascii="宋体"/>
              </w:rPr>
            </w:pPr>
            <w:r>
              <w:rPr>
                <w:rFonts w:hint="eastAsia" w:ascii="宋体" w:hAnsi="宋体"/>
              </w:rPr>
              <w:t>验证结论：符合JGT52-2006要求</w:t>
            </w:r>
          </w:p>
          <w:p>
            <w:pPr>
              <w:ind w:left="-315" w:leftChars="-150" w:firstLine="630" w:firstLineChars="300"/>
              <w:rPr>
                <w:rFonts w:hint="default" w:ascii="宋体" w:eastAsia="宋体"/>
                <w:lang w:val="en-US" w:eastAsia="zh-CN"/>
              </w:rPr>
            </w:pPr>
            <w:r>
              <w:rPr>
                <w:rFonts w:hint="eastAsia" w:ascii="宋体" w:hAnsi="宋体"/>
              </w:rPr>
              <w:t>检验员：</w:t>
            </w:r>
            <w:r>
              <w:rPr>
                <w:rFonts w:hint="eastAsia" w:ascii="宋体" w:hAnsi="宋体"/>
                <w:lang w:val="en-US" w:eastAsia="zh-CN"/>
              </w:rPr>
              <w:t>周晴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hint="eastAsia" w:ascii="宋体" w:hAnsi="宋体"/>
              </w:rPr>
              <w:t>日期：</w:t>
            </w:r>
            <w:r>
              <w:rPr>
                <w:rFonts w:ascii="宋体" w:hAnsi="宋体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23.2.17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原材料经检测过磅后，由库管</w:t>
            </w:r>
            <w:r>
              <w:rPr>
                <w:rFonts w:hint="eastAsia" w:ascii="宋体" w:hAnsi="宋体"/>
                <w:lang w:val="en-US" w:eastAsia="zh-CN"/>
              </w:rPr>
              <w:t>秦明亮</w:t>
            </w:r>
            <w:r>
              <w:rPr>
                <w:rFonts w:hint="eastAsia" w:ascii="宋体" w:hAnsi="宋体"/>
              </w:rPr>
              <w:t>验收签字，存放在指定堆场。</w:t>
            </w:r>
          </w:p>
          <w:p>
            <w:pPr>
              <w:ind w:left="-315" w:leftChars="-150" w:firstLine="630" w:firstLineChars="300"/>
              <w:rPr>
                <w:rFonts w:ascii="宋体" w:hAnsi="宋体"/>
              </w:rPr>
            </w:pPr>
          </w:p>
          <w:p>
            <w:pPr>
              <w:ind w:left="-315" w:leftChars="-150" w:firstLine="632" w:firstLineChars="300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抽查原材料</w:t>
            </w:r>
            <w:r>
              <w:rPr>
                <w:rFonts w:hint="eastAsia" w:ascii="宋体" w:hAnsi="宋体"/>
                <w:b/>
                <w:lang w:val="en-US" w:eastAsia="zh-CN"/>
              </w:rPr>
              <w:t>出厂检验</w:t>
            </w:r>
            <w:r>
              <w:rPr>
                <w:rFonts w:hint="eastAsia" w:ascii="宋体" w:hAnsi="宋体"/>
                <w:b/>
              </w:rPr>
              <w:t>报告</w:t>
            </w:r>
          </w:p>
          <w:p>
            <w:pPr>
              <w:ind w:left="-315" w:leftChars="-150" w:firstLine="632" w:firstLineChars="300"/>
              <w:rPr>
                <w:rFonts w:hint="eastAsia" w:ascii="宋体" w:hAnsi="宋体" w:eastAsia="宋体"/>
                <w:b/>
                <w:lang w:eastAsia="zh-CN"/>
              </w:rPr>
            </w:pPr>
          </w:p>
          <w:p>
            <w:pPr>
              <w:ind w:left="-315" w:leftChars="-150" w:firstLine="630" w:firstLineChars="300"/>
              <w:rPr>
                <w:rFonts w:hint="eastAsia" w:ascii="宋体" w:hAnsi="宋体" w:eastAsia="宋体"/>
                <w:b/>
                <w:lang w:eastAsia="zh-CN"/>
              </w:rPr>
            </w:pPr>
            <w:r>
              <w:drawing>
                <wp:inline distT="0" distB="0" distL="114300" distR="114300">
                  <wp:extent cx="1731010" cy="2258060"/>
                  <wp:effectExtent l="0" t="0" r="2540" b="889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81175" cy="2245995"/>
                  <wp:effectExtent l="0" t="0" r="9525" b="190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82420" cy="2226310"/>
                  <wp:effectExtent l="0" t="0" r="17780" b="254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892"/>
              </w:tabs>
              <w:rPr>
                <w:rFonts w:hint="eastAsia" w:ascii="宋体" w:hAnsi="宋体" w:eastAsia="宋体"/>
                <w:b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采购进货检验中发现的不合格品，由采购部负责退回供应商，目前，公司的供应商比较稳定，产品质量达到公司的质量要求，未出现采购不合格的情况。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过程/出厂检验标准：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混凝土搅拌系统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生产操作作业规程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混凝土搅拌系统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洗机操作作业规程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混凝土搅拌系统配料、称量作业规程（包括配料参数设定、配料秤标定）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混凝土搅拌系统 软件调用、维护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搅拌主机操作规程（维护、保养）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外加剂泵操作规程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污水处理系统维护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预拌混凝土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GB14902</w:t>
            </w:r>
          </w:p>
          <w:p>
            <w:pPr>
              <w:pStyle w:val="2"/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混凝土质量控制标准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GB50164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混凝土强度检验评定标准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GB/T 50107</w:t>
            </w:r>
          </w:p>
          <w:p>
            <w:p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普通混凝土配合比设计规程JGJ55-2011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普通混凝土拌和物性能试验方法标准GB/T50080</w:t>
            </w:r>
          </w:p>
          <w:p>
            <w:p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普通混凝土力学性能试验方法标准GB/T50081-2002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\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普通混凝土长期性能和耐久性能试验方法标准GB/T50082</w:t>
            </w:r>
          </w:p>
          <w:p>
            <w:p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DGQC03建筑用卵石、碎石检验规程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DG/QC04砼外加剂试验方法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DGQC05砼外加剂匀质性试验方法</w:t>
            </w:r>
          </w:p>
          <w:p>
            <w:p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DGQC06用于水泥和混凝土中的粉煤灰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DGQ07粒化高炉矿渣粉性指数及流动比的测定</w:t>
            </w:r>
          </w:p>
          <w:p>
            <w:pPr>
              <w:spacing w:line="360" w:lineRule="auto"/>
              <w:ind w:left="420" w:left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DGQC08混凝士配合比设计实验规程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DGOC09混凝土坍落度的测定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DGQC010混凝土表观密度实验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DGQC01普通砼力学性能实验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DGQC012混凝土及原材料抽样方法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DGOC013普通混凝土长期性能和耐久性实验方法标准等。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抽混凝土立方体试件挤压强度检验报告，工程名称：湖北路桥集团公司，使用部位：交通管线包制，设计强度等级：C15，检验结果：19.5MPA（抗压强度值）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抽混凝土立方体试件挤压强度检验报告，工程名称：湖北路桥集团公司，使用部位：8#楼刚性屋面，设计强度等级：C20，检验结果：26.8MPA（抗压强度值）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抽混凝土立方体试件挤压强度检验报告，工程名称：湖北路桥集团公司，使用部位：墙体板梁，设计强度等级：C25，检验结果：32.6MPA（抗压强度值）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抽混凝土立方体试件挤压强度检验报告，工程名称：湖北路桥集团公司，使用部位：墙体板梁，设计强度等级：C30，检验结果：37.5MPA（抗压强度值）</w:t>
            </w:r>
          </w:p>
          <w:p>
            <w:pPr>
              <w:numPr>
                <w:ilvl w:val="3"/>
                <w:numId w:val="0"/>
              </w:numPr>
              <w:spacing w:line="360" w:lineRule="auto"/>
              <w:ind w:left="420" w:leftChars="200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抽混凝土立方体试件挤压强度检验报告，工程名称：润都制药，使用部位：结构梁板梯，设计强度等级：C35，检验结果：42.2MPA（抗压强度值）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、查混凝土生产实现关键过程——混凝土配比设计检验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抽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标准依据：JGJ55-2011     检验设备：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数显压力试验机J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YE- 200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0等，    检验环境温度：20℃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养护方法：标养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混凝土设计强度等级：C25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塌落度：180±20mm 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技术负责：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张鹿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     校核：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杨高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验算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李盼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269875</wp:posOffset>
                  </wp:positionV>
                  <wp:extent cx="3000375" cy="1268095"/>
                  <wp:effectExtent l="0" t="0" r="9525" b="8255"/>
                  <wp:wrapNone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原材料设计配合比(备注：配合比中的沙、石均为干燥状态的用量)：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抽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标准依据：JGJ55-2011    检验设备：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数显压力试验机J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YE- 200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0等，    检验环境温度：20℃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养护方法：标养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 xml:space="preserve">混凝土设计强度等级：C30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塌落度：180±20mm  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原材料设计配合比：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drawing>
                <wp:inline distT="0" distB="0" distL="114300" distR="114300">
                  <wp:extent cx="3409950" cy="1449705"/>
                  <wp:effectExtent l="0" t="0" r="0" b="17145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抽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标准依据：JGJ55-2011    检验设备：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数显压力试验机J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YE- 200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0等，    检验环境温度：20℃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养护方法：标养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混凝土设计强度等级：C35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塌落度：180±20mm 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技术负责：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张鹿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     校核：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杨高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验算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李盼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原材料设计配合比(备注：配合比中的沙、石均为干燥状态的用量)：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3238500" cy="1380490"/>
                  <wp:effectExtent l="0" t="0" r="0" b="10160"/>
                  <wp:wrapNone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Cs w:val="21"/>
                <w:lang w:val="en-US" w:eastAsia="zh-CN"/>
              </w:rPr>
              <w:t>同时还抽查了相对应的混凝土配合比设计检验原始记录，基本符合要求。</w:t>
            </w: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Cs w:val="21"/>
              </w:rPr>
              <w:t>5、抽查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Cs w:val="21"/>
              </w:rPr>
              <w:t>出厂检验记录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Cs w:val="21"/>
                <w:lang w:val="en-US" w:eastAsia="zh-CN"/>
              </w:rPr>
              <w:t>预拌混凝土合格证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Cs w:val="21"/>
                <w:lang w:eastAsia="zh-CN"/>
              </w:rPr>
              <w:t>）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 xml:space="preserve">抽1 </w:t>
            </w:r>
            <w:r>
              <w:rPr>
                <w:rFonts w:hint="eastAsia" w:ascii="宋体" w:hAnsi="宋体" w:cs="宋体"/>
                <w:szCs w:val="21"/>
              </w:rPr>
              <w:t>执行标准：GB50204.GB/T14902.GB/T50080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>检验日期：20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23</w:t>
            </w:r>
            <w:r>
              <w:rPr>
                <w:rFonts w:ascii="宋体" w:hAnsi="宋体" w:cs="宋体"/>
                <w:szCs w:val="21"/>
              </w:rPr>
              <w:t>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</w:t>
            </w:r>
            <w:r>
              <w:rPr>
                <w:rFonts w:ascii="宋体" w:hAnsi="宋体" w:cs="宋体"/>
                <w:szCs w:val="21"/>
              </w:rPr>
              <w:t>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</w:t>
            </w:r>
            <w:r>
              <w:rPr>
                <w:rFonts w:ascii="宋体" w:hAnsi="宋体" w:cs="宋体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强度等级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：</w:t>
            </w:r>
            <w:r>
              <w:rPr>
                <w:rFonts w:hint="eastAsia" w:ascii="宋体" w:hAnsi="宋体" w:cs="宋体"/>
                <w:szCs w:val="21"/>
              </w:rPr>
              <w:t>C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30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                       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实测结果：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36.8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MPa        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 xml:space="preserve">抽2 </w:t>
            </w:r>
            <w:r>
              <w:rPr>
                <w:rFonts w:hint="eastAsia" w:ascii="宋体" w:hAnsi="宋体" w:cs="宋体"/>
                <w:szCs w:val="21"/>
              </w:rPr>
              <w:t>执行标准：GB50204.GB/T14902.GB/T50080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>检验日期：20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23</w:t>
            </w:r>
            <w:r>
              <w:rPr>
                <w:rFonts w:ascii="宋体" w:hAnsi="宋体" w:cs="宋体"/>
                <w:szCs w:val="21"/>
              </w:rPr>
              <w:t>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</w:t>
            </w:r>
            <w:r>
              <w:rPr>
                <w:rFonts w:ascii="宋体" w:hAnsi="宋体" w:cs="宋体"/>
                <w:szCs w:val="21"/>
              </w:rPr>
              <w:t>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15</w:t>
            </w:r>
            <w:r>
              <w:rPr>
                <w:rFonts w:ascii="宋体" w:hAnsi="宋体" w:cs="宋体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养护地点：施工现场标养室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混凝土试件尺寸（mm）100*100*100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施工部位：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照明基础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    </w:t>
            </w:r>
            <w:r>
              <w:rPr>
                <w:rFonts w:hint="eastAsia" w:ascii="宋体" w:hAnsi="宋体" w:cs="宋体"/>
                <w:szCs w:val="21"/>
              </w:rPr>
              <w:t>强度等级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：</w:t>
            </w:r>
            <w:r>
              <w:rPr>
                <w:rFonts w:hint="eastAsia" w:ascii="宋体" w:hAnsi="宋体" w:cs="宋体"/>
                <w:szCs w:val="21"/>
              </w:rPr>
              <w:t>C20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工程名称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ab/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安装工程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实测结果：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26.2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MPa           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 xml:space="preserve">抽3 </w:t>
            </w:r>
            <w:r>
              <w:rPr>
                <w:rFonts w:hint="eastAsia" w:ascii="宋体" w:hAnsi="宋体" w:cs="宋体"/>
                <w:szCs w:val="21"/>
              </w:rPr>
              <w:t>执行标准：GB50204.GB/T14902.GB/T50080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>检验日期：20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23</w:t>
            </w:r>
            <w:r>
              <w:rPr>
                <w:rFonts w:ascii="宋体" w:hAnsi="宋体" w:cs="宋体"/>
                <w:szCs w:val="21"/>
              </w:rPr>
              <w:t>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</w:t>
            </w:r>
            <w:r>
              <w:rPr>
                <w:rFonts w:ascii="宋体" w:hAnsi="宋体" w:cs="宋体"/>
                <w:szCs w:val="21"/>
              </w:rPr>
              <w:t>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20</w:t>
            </w:r>
            <w:r>
              <w:rPr>
                <w:rFonts w:ascii="宋体" w:hAnsi="宋体" w:cs="宋体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养护地点：施工现场标养室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混凝土试件尺寸（mm）100*100*100     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施工部位：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5#楼22层梁板梯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      </w:t>
            </w:r>
            <w:r>
              <w:rPr>
                <w:rFonts w:hint="eastAsia" w:ascii="宋体" w:hAnsi="宋体" w:cs="宋体"/>
                <w:szCs w:val="21"/>
              </w:rPr>
              <w:t>强度等级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：</w:t>
            </w:r>
            <w:r>
              <w:rPr>
                <w:rFonts w:hint="eastAsia" w:ascii="宋体" w:hAnsi="宋体" w:cs="宋体"/>
                <w:szCs w:val="21"/>
              </w:rPr>
              <w:t>C25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   </w:t>
            </w:r>
          </w:p>
          <w:p>
            <w:pPr>
              <w:numPr>
                <w:ilvl w:val="3"/>
                <w:numId w:val="0"/>
              </w:num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实测结果：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32.4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MPa              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6、第三方检验报告：</w:t>
            </w:r>
          </w:p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49530</wp:posOffset>
                  </wp:positionV>
                  <wp:extent cx="1750695" cy="2476500"/>
                  <wp:effectExtent l="0" t="0" r="1905" b="0"/>
                  <wp:wrapNone/>
                  <wp:docPr id="24" name="图片 24" descr="预拌混凝土C3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预拌混凝土C30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49530</wp:posOffset>
                  </wp:positionV>
                  <wp:extent cx="1760220" cy="2430145"/>
                  <wp:effectExtent l="0" t="0" r="11430" b="8255"/>
                  <wp:wrapNone/>
                  <wp:docPr id="23" name="图片 23" descr="预拌混凝土C30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预拌混凝土C30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210" w:firstLineChars="100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tabs>
                <w:tab w:val="left" w:pos="8439"/>
              </w:tabs>
              <w:spacing w:line="360" w:lineRule="auto"/>
              <w:ind w:firstLine="210" w:firstLineChars="100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tab/>
            </w: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</w:pP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</w:pP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tabs>
                <w:tab w:val="left" w:pos="3027"/>
              </w:tabs>
              <w:spacing w:line="360" w:lineRule="auto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tab/>
            </w:r>
          </w:p>
          <w:p>
            <w:pPr>
              <w:tabs>
                <w:tab w:val="left" w:pos="8079"/>
              </w:tabs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产品交付后，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  <w:t>销售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</w:rPr>
              <w:t>部为归口部门，详见销售部检查表。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951" w:type="dxa"/>
          </w:tcPr>
          <w:p>
            <w:r>
              <w:rPr>
                <w:rFonts w:hint="eastAsia"/>
              </w:rPr>
              <w:t>不合格输出的控制</w:t>
            </w:r>
          </w:p>
        </w:tc>
        <w:tc>
          <w:tcPr>
            <w:tcW w:w="1169" w:type="dxa"/>
          </w:tcPr>
          <w:p>
            <w:pPr>
              <w:pStyle w:val="8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Q8.7</w:t>
            </w:r>
          </w:p>
          <w:p/>
        </w:tc>
        <w:tc>
          <w:tcPr>
            <w:tcW w:w="1073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1、公司制定有《不合格品控制程序》，以实施对生产全过程不合格品处置的控制。生产过程中未发现不合格，倘若发生，执行《不合格品控制程序》。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采购材料发现不合格时，通知采购人员，对不合格的采购材料进行隔离，一般情况下进行退货处理，未发生过让步使用的情况。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2、 经了解，未发生让步接收的情况。</w:t>
            </w:r>
          </w:p>
          <w:p>
            <w:r>
              <w:rPr>
                <w:rFonts w:hint="eastAsia" w:ascii="宋体" w:hAnsi="宋体" w:cs="宋体"/>
                <w:szCs w:val="21"/>
              </w:rPr>
              <w:t>3、经了解，目前尚未发生交付后或使用后才发现的产品不合格情况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5" w:hRule="atLeast"/>
        </w:trPr>
        <w:tc>
          <w:tcPr>
            <w:tcW w:w="1951" w:type="dxa"/>
          </w:tcPr>
          <w:p>
            <w:r>
              <w:rPr>
                <w:rFonts w:hint="eastAsia"/>
              </w:rPr>
              <w:t>监视、测量、分析、评价</w:t>
            </w:r>
          </w:p>
        </w:tc>
        <w:tc>
          <w:tcPr>
            <w:tcW w:w="1169" w:type="dxa"/>
          </w:tcPr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Q9.1</w:t>
            </w: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ES9.1.1</w:t>
            </w: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Q9.1.3</w:t>
            </w:r>
          </w:p>
          <w:p>
            <w:pPr>
              <w:pStyle w:val="8"/>
              <w:spacing w:line="360" w:lineRule="auto"/>
              <w:ind w:firstLine="0" w:firstLineChars="0"/>
              <w:rPr>
                <w:rFonts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</w:p>
          <w:p/>
        </w:tc>
        <w:tc>
          <w:tcPr>
            <w:tcW w:w="1073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1、 查到《质量手册》，规定了有关数据分析评价的内容，符合标准要求。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负责人回答：对数据分析评价的方法和内容进行规定。经了解，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实</w:t>
            </w:r>
            <w:r>
              <w:rPr>
                <w:rFonts w:hint="eastAsia" w:ascii="宋体" w:hAnsi="宋体" w:cs="宋体"/>
                <w:szCs w:val="21"/>
              </w:rPr>
              <w:t>验室（质检）常用数据分析方法主要有直方图、因果分析、鱼刺图、排列图、对策表等法。所收集信息包括材料供方、顾客满意率、产品质量等。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2、 查到《分析报告》，对产品的质量情况、顾客满意度情况、体系的绩效和有效性、措施的有效性、外部供方的绩效、改进需求等进行数据总结，采用直方图、因果分析、鱼刺图、排列图、对策表等方法进行分析。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查到目标指标的完成情况，形成了相关的材料证实，并输入到了管理评审中。</w:t>
            </w: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以上统计技术的应用和数据分析的实施情况证实，基本符合标准要求，均实施了有效性的评价，通过数据分析，为质量管理体系有关过程的改进提供机会。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951" w:type="dxa"/>
          </w:tcPr>
          <w:p>
            <w:pPr>
              <w:tabs>
                <w:tab w:val="left" w:pos="9720"/>
                <w:tab w:val="left" w:pos="9900"/>
              </w:tabs>
              <w:spacing w:beforeLines="20" w:afterLines="2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事件调查、不符合、纠正措施和预防措施</w:t>
            </w:r>
          </w:p>
          <w:p>
            <w:pPr>
              <w:tabs>
                <w:tab w:val="left" w:pos="9720"/>
                <w:tab w:val="left" w:pos="9900"/>
              </w:tabs>
              <w:spacing w:beforeLines="20" w:afterLines="20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tabs>
                <w:tab w:val="left" w:pos="9720"/>
                <w:tab w:val="left" w:pos="9900"/>
              </w:tabs>
              <w:spacing w:beforeLines="20" w:afterLines="2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持续改进</w:t>
            </w:r>
          </w:p>
          <w:p>
            <w:pPr>
              <w:spacing w:line="28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9" w:type="dxa"/>
          </w:tcPr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QES10.2</w:t>
            </w:r>
          </w:p>
          <w:p>
            <w:pPr>
              <w:spacing w:line="360" w:lineRule="auto"/>
              <w:ind w:left="310" w:hanging="310" w:hangingChars="147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ES10.3</w:t>
            </w:r>
          </w:p>
          <w:p>
            <w:pPr>
              <w:spacing w:line="360" w:lineRule="auto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spacing w:line="280" w:lineRule="exact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0738" w:type="dxa"/>
            <w:vAlign w:val="center"/>
          </w:tcPr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实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验室对已经识别的一般比较轻微问题或不符合采取纠正的办法，比较有影响或典型的问题则采取纠正措施予以控制。根据以往的经验或者针对施工过程的现场管理要求、安全及环保要求识别和确定潜在的不符合，有针对性地制定预防措施。使试验室管理和员工健康得到重视或关注。公司的试验室通过班前会、安全技术交底活动、工地现场会的形式贯彻实施预防措施，实施的效果比较好。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查到《不符合纠正措施控制程序》，见程序文件确定的纠正/预防措施的控制的职责和相关的管理要求，覆盖标准要求，体系建立以来未发生更改变化，基本符合。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见《环境、安全检查记录》，检查内容包括加工/生活/办公区域卫生情况,是否清理干净;危废收集处理情况;操作工配戴劳动防护用品情况；操作工是否按设备操作规程作业。电工持证上岗情况；生产安全用电情况；用电是否有乱搭线现象;接地保护是否完好；消防设施是否完好;消防通道是否畅通。</w:t>
            </w:r>
          </w:p>
          <w:p>
            <w:pPr>
              <w:spacing w:line="400" w:lineRule="exact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经了解，所有措施没有引发在策划期间确定的风险和机遇的更新，也没有引发质量管理体系的变更，实施情况基本符合标准的要求。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951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环境因素的识别、评价；危险源辨识、风险评价和控制措施的确定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169" w:type="dxa"/>
          </w:tcPr>
          <w:p>
            <w:pPr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 xml:space="preserve">ES6.1.2 </w:t>
            </w:r>
          </w:p>
          <w:p>
            <w:pPr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ES6.1.4</w:t>
            </w:r>
          </w:p>
        </w:tc>
        <w:tc>
          <w:tcPr>
            <w:tcW w:w="10738" w:type="dxa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公司制订《环境因素识别与评价控制程序》和《危险源识别与风险评价控制程序》，生产部根据混凝土生产过程及工作特点对涉及的环境因素、危险源进行了识别和辨识。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在公司编制的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”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环境因素识别与评价控制程序</w:t>
            </w:r>
            <w:r>
              <w:rPr>
                <w:rFonts w:asciiTheme="minorEastAsia" w:hAnsiTheme="minorEastAsia" w:eastAsiaTheme="minorEastAsia" w:cstheme="minorEastAsia"/>
                <w:bCs/>
                <w:szCs w:val="21"/>
              </w:rPr>
              <w:t>”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中，对环境因素识别和评价的目的、职责、工作程序和记录的要求均有明确的规定。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查到《环境因素识别评价表》：已识别生产部（包括车队）的环境因素产生过程包括：原材料进场、砂石上料、混凝土搅拌、设备、空压机、混凝土运输、设备维修、办公用车的使用</w:t>
            </w:r>
            <w:r>
              <w:rPr>
                <w:rFonts w:hint="eastAsia" w:ascii="宋体" w:hAnsi="宋体" w:cs="宋体"/>
                <w:kern w:val="0"/>
                <w:szCs w:val="21"/>
              </w:rPr>
              <w:t>等过程中粉尘的排放，噪声的排放，能源的消耗，废水、废渣的排放、固废的废弃等，在环境评价过程中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考虑到环境影响、三种时态和三种状态等。使用分级评分的方式。基本合理。</w:t>
            </w:r>
          </w:p>
          <w:p>
            <w:pPr>
              <w:spacing w:beforeLines="50" w:line="200" w:lineRule="exact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参加环境因素辨识和评价人员： 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编制 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李涛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  审批 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景运清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  日期：20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月15日 </w:t>
            </w:r>
          </w:p>
          <w:p>
            <w:pPr>
              <w:spacing w:beforeLines="50" w:line="200" w:lineRule="exact"/>
              <w:ind w:firstLine="42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查到《重要环境因素清单》已识别重要环境因素包括：粉尘的排放、噪声的排放，明确的控制措施和责任部门，</w:t>
            </w:r>
          </w:p>
          <w:p>
            <w:pPr>
              <w:spacing w:beforeLines="50" w:line="200" w:lineRule="exact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基本合理。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查到《危险源辨识与评价一览表》，内容有：作业活动名称、潜在危险因素、时态、状态、可导致事故、可采取控制措施、危险发生的可能性L、损失后果C、频繁程度E、等。识别出生产技术部（包括车队）危险源有：触电、火灾、机械伤害、听力损害、爆炸、高空坠落、中毒、职业病、人身伤害等。优先控制风险采用“LEC”方法进行评价。提供《不可接受风险清单》有：职业病；高空坠落；运输伤亡、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触电、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机械伤害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火灾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，并制定有控制措施。</w:t>
            </w:r>
          </w:p>
          <w:p>
            <w:pPr>
              <w:spacing w:line="36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编制 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李涛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  审批 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景运清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  日期：20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 xml:space="preserve">月15日 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 xml:space="preserve"> 。以上危险源识别基本全面、无遗漏，评价基本合理。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951" w:type="dxa"/>
          </w:tcPr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环境和职业健康安全运行控制</w:t>
            </w:r>
          </w:p>
        </w:tc>
        <w:tc>
          <w:tcPr>
            <w:tcW w:w="1169" w:type="dxa"/>
          </w:tcPr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E8.1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S8.1.2</w:t>
            </w:r>
          </w:p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S8.1.3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0738" w:type="dxa"/>
          </w:tcPr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重要环境因素的控制，依据公司的相关规定：节能降耗控制程序、废弃物控制程序、大气污染防治控制程序、噪声控制程序、消防管理控制程序等；</w:t>
            </w:r>
          </w:p>
          <w:p>
            <w:pPr>
              <w:numPr>
                <w:ilvl w:val="0"/>
                <w:numId w:val="2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废水控制：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生产废水为搅拌车、搅拌机等设备清洁废水及砂石分离过程产生的废水，生产废水经沉淀池收集后回用，不外排。生活废水近远期采取不同的处理方式。近期，项目食堂废水经隔油池处理后与生活废水混流，经化粪池和厂区一体化4S-MBR处理工艺处理达到《污水综合排放标准》（GB8978-1996）表4一级标准要求后用于厂区绿化；远期，项目食堂废水经隔油池处理后与生活废水混流，经化粪池处理达到《污水综合排放标准》（GB8978-1996）表4三级标准后经规范化排污口排入市政管网，进入杨树港污水处理厂处理，尾水进入杨树港。</w:t>
            </w:r>
          </w:p>
          <w:p>
            <w:pPr>
              <w:numPr>
                <w:ilvl w:val="0"/>
                <w:numId w:val="2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噪声控制：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企业采取优化厂区平面布置，合理布置高噪声设备，对高噪声设备采取隔声、消声、减振及置于相对封闭的厂房内等措施，并对厂区进行绿化等措施降低噪声对周围环境的影响。</w:t>
            </w:r>
          </w:p>
          <w:p>
            <w:pPr>
              <w:numPr>
                <w:ilvl w:val="0"/>
                <w:numId w:val="2"/>
              </w:num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废气控制：公司的生产设有属于密闭设备，自动化程度高，原料为颗粒状，在生产过程中不产生粉尘及废气，生产中的废气及粉尘为清扫地面产生的灰尘，公司采取降尘洒水，通风的办法。见附件环境监测报告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4）固废控制：</w:t>
            </w:r>
          </w:p>
          <w:p>
            <w:pPr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除尘器及车间收集的粉尘作为原料回用于生产；砂石泥浆及沉淀池污泥堆放于厂区堆场，作为厂区地面基础设施材料综合利用，后期经干化后运至垃圾填埋场填埋，生活垃圾集中收集后由环卫部门定期清运。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5）能资源管理：公司规定人走灯灭，人走关水等节能节水措施，并互相监督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6）火灾事故预防：公司配备有灭火器等消防设施，有应急预案，相关人员经过培训。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7）触电：公司专人负责对电箱进行检查和维保，电气线路防护，措施到位。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8）机械伤害：车间悬挂操作规程，人员经过培训，设备定期保养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9）触电：电箱均有防触电标识，人员经过培训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提供人员社保清单：</w:t>
            </w:r>
          </w:p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公司制定了安全生产责任属，制定了安全目标考核制定.</w:t>
            </w:r>
          </w:p>
          <w:p>
            <w:pPr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提供员工体检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报告和职业病危害因素定期检测报告均符合要求。</w:t>
            </w:r>
          </w:p>
          <w:bookmarkEnd w:id="0"/>
          <w:p>
            <w:pPr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提供员工个人防护清单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运行控制基本满足要求。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951" w:type="dxa"/>
          </w:tcPr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应急准备和响应</w:t>
            </w:r>
          </w:p>
        </w:tc>
        <w:tc>
          <w:tcPr>
            <w:tcW w:w="1169" w:type="dxa"/>
          </w:tcPr>
          <w:p>
            <w:pPr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ES8.2</w:t>
            </w:r>
          </w:p>
          <w:p>
            <w:pPr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0738" w:type="dxa"/>
          </w:tcPr>
          <w:p>
            <w:pPr>
              <w:spacing w:line="240" w:lineRule="auto"/>
              <w:ind w:firstLine="210" w:firstLineChars="1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负责人介绍，公司制定《应急准备和响应控制程序》、《应急救援预案》等，包括：火灾、爆炸应急预案、生产车间中毒、梅雨、雷电等恶劣天气应急预案、高空坠落应急预案等</w:t>
            </w:r>
          </w:p>
          <w:p>
            <w:pPr>
              <w:spacing w:line="240" w:lineRule="auto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见：《高空坠落预案演练记录》</w:t>
            </w:r>
          </w:p>
          <w:p>
            <w:pPr>
              <w:spacing w:line="240" w:lineRule="auto"/>
              <w:ind w:firstLine="48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时间 ：20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月20日</w:t>
            </w:r>
          </w:p>
          <w:p>
            <w:pPr>
              <w:spacing w:line="240" w:lineRule="auto"/>
              <w:ind w:firstLine="48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地点：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号仓</w:t>
            </w:r>
          </w:p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部门：生产部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及公司各部门</w:t>
            </w:r>
          </w:p>
          <w:p>
            <w:pPr>
              <w:spacing w:line="240" w:lineRule="auto"/>
              <w:ind w:firstLine="420" w:firstLineChars="200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负责人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李涛</w:t>
            </w:r>
          </w:p>
          <w:p>
            <w:pPr>
              <w:spacing w:line="240" w:lineRule="auto"/>
              <w:ind w:firstLine="420" w:firstLineChars="2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实验室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参加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了生产部组织的演练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。过程记录详细。</w:t>
            </w:r>
          </w:p>
          <w:p>
            <w:pPr>
              <w:pStyle w:val="2"/>
              <w:spacing w:line="240" w:lineRule="auto"/>
              <w:ind w:firstLine="46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演练中不但讲解了高空坠落发生后的处理流程，包括汇报机制，通知医院，疏导交通保证救援通道畅通，实施抢救等，并在演练结束后进行了总结，应急预案有可操作性，应急人员基本掌握该方案，能够应对突发事件。</w:t>
            </w:r>
          </w:p>
          <w:p>
            <w:pPr>
              <w:spacing w:line="240" w:lineRule="auto"/>
              <w:ind w:firstLine="42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hAnsiTheme="minorEastAsia" w:eastAsiaTheme="minorEastAsia"/>
                <w:sz w:val="21"/>
                <w:szCs w:val="21"/>
              </w:rPr>
              <w:t>针对近期出现的新型冠状病毒引发的肺炎疫情，公司制定了疫情防控预案，公司有进行返岗人员健康报备管理、每日人员出入登记/量体温/戴口罩、是否发热、办公区域消毒、分餐制用餐时间管理等，严格按政府和预案的要求执行。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基本符合。</w:t>
            </w:r>
          </w:p>
        </w:tc>
        <w:tc>
          <w:tcPr>
            <w:tcW w:w="851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</w:t>
            </w:r>
          </w:p>
        </w:tc>
      </w:tr>
    </w:tbl>
    <w:p>
      <w:r>
        <w:ptab w:relativeTo="margin" w:alignment="center" w:leader="none"/>
      </w:r>
    </w:p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8" o:spid="_x0000_s4098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1B5DAC"/>
    <w:multiLevelType w:val="singleLevel"/>
    <w:tmpl w:val="E71B5DA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2A507B7"/>
    <w:multiLevelType w:val="singleLevel"/>
    <w:tmpl w:val="62A507B7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hlOThiN2ZiYWFhMTVmZWIyMjliZTE5YjA2MDUwOTgifQ=="/>
  </w:docVars>
  <w:rsids>
    <w:rsidRoot w:val="009973B4"/>
    <w:rsid w:val="00011812"/>
    <w:rsid w:val="00021A1B"/>
    <w:rsid w:val="000237F6"/>
    <w:rsid w:val="0003373A"/>
    <w:rsid w:val="00034A9D"/>
    <w:rsid w:val="000400E2"/>
    <w:rsid w:val="000429C6"/>
    <w:rsid w:val="00054815"/>
    <w:rsid w:val="000552D4"/>
    <w:rsid w:val="0005552D"/>
    <w:rsid w:val="00062E46"/>
    <w:rsid w:val="00067168"/>
    <w:rsid w:val="00083A24"/>
    <w:rsid w:val="00090363"/>
    <w:rsid w:val="000915E2"/>
    <w:rsid w:val="000974F5"/>
    <w:rsid w:val="000A627F"/>
    <w:rsid w:val="000F142D"/>
    <w:rsid w:val="000F2D62"/>
    <w:rsid w:val="000F3159"/>
    <w:rsid w:val="0013031B"/>
    <w:rsid w:val="00147311"/>
    <w:rsid w:val="00171DD5"/>
    <w:rsid w:val="00176434"/>
    <w:rsid w:val="00180899"/>
    <w:rsid w:val="00181427"/>
    <w:rsid w:val="00186C0E"/>
    <w:rsid w:val="001A2D7F"/>
    <w:rsid w:val="001C6C32"/>
    <w:rsid w:val="001D13CA"/>
    <w:rsid w:val="001D6651"/>
    <w:rsid w:val="001D6E47"/>
    <w:rsid w:val="001D7441"/>
    <w:rsid w:val="001E00F4"/>
    <w:rsid w:val="001E405B"/>
    <w:rsid w:val="002004CC"/>
    <w:rsid w:val="0021428D"/>
    <w:rsid w:val="00214360"/>
    <w:rsid w:val="00216E03"/>
    <w:rsid w:val="00221B40"/>
    <w:rsid w:val="00224777"/>
    <w:rsid w:val="00253BC0"/>
    <w:rsid w:val="002544BA"/>
    <w:rsid w:val="00275D6D"/>
    <w:rsid w:val="0027658D"/>
    <w:rsid w:val="002939AD"/>
    <w:rsid w:val="002A1447"/>
    <w:rsid w:val="002C3FD2"/>
    <w:rsid w:val="002F191A"/>
    <w:rsid w:val="00307B23"/>
    <w:rsid w:val="0031275F"/>
    <w:rsid w:val="003227F7"/>
    <w:rsid w:val="00333BD4"/>
    <w:rsid w:val="00337922"/>
    <w:rsid w:val="00340867"/>
    <w:rsid w:val="00352074"/>
    <w:rsid w:val="00370B31"/>
    <w:rsid w:val="00380837"/>
    <w:rsid w:val="00395EAE"/>
    <w:rsid w:val="003A198A"/>
    <w:rsid w:val="003C5185"/>
    <w:rsid w:val="003C522A"/>
    <w:rsid w:val="003D6EBD"/>
    <w:rsid w:val="003F2DCC"/>
    <w:rsid w:val="003F4C9B"/>
    <w:rsid w:val="003F77BC"/>
    <w:rsid w:val="004034D5"/>
    <w:rsid w:val="00406598"/>
    <w:rsid w:val="00410914"/>
    <w:rsid w:val="004154A6"/>
    <w:rsid w:val="004163AC"/>
    <w:rsid w:val="004200FD"/>
    <w:rsid w:val="00425E1C"/>
    <w:rsid w:val="00426823"/>
    <w:rsid w:val="00433001"/>
    <w:rsid w:val="00455FDD"/>
    <w:rsid w:val="00470E83"/>
    <w:rsid w:val="00475DB2"/>
    <w:rsid w:val="00495989"/>
    <w:rsid w:val="004C2454"/>
    <w:rsid w:val="004D0038"/>
    <w:rsid w:val="004D261F"/>
    <w:rsid w:val="004E0A34"/>
    <w:rsid w:val="004E5B89"/>
    <w:rsid w:val="004F1BD1"/>
    <w:rsid w:val="004F6236"/>
    <w:rsid w:val="00506CCF"/>
    <w:rsid w:val="00520A70"/>
    <w:rsid w:val="00536930"/>
    <w:rsid w:val="00550935"/>
    <w:rsid w:val="0055140B"/>
    <w:rsid w:val="00553EFF"/>
    <w:rsid w:val="00562A63"/>
    <w:rsid w:val="0056496F"/>
    <w:rsid w:val="00564E53"/>
    <w:rsid w:val="00565DA1"/>
    <w:rsid w:val="005677B9"/>
    <w:rsid w:val="005820BE"/>
    <w:rsid w:val="005845D5"/>
    <w:rsid w:val="00586ED8"/>
    <w:rsid w:val="005A097A"/>
    <w:rsid w:val="005A45E2"/>
    <w:rsid w:val="005A60C4"/>
    <w:rsid w:val="005B014D"/>
    <w:rsid w:val="005B2149"/>
    <w:rsid w:val="005B5123"/>
    <w:rsid w:val="005C03EB"/>
    <w:rsid w:val="005C0B82"/>
    <w:rsid w:val="005D2EE9"/>
    <w:rsid w:val="005D481B"/>
    <w:rsid w:val="005D5659"/>
    <w:rsid w:val="005D7EFA"/>
    <w:rsid w:val="00600C20"/>
    <w:rsid w:val="0061126D"/>
    <w:rsid w:val="00611B7D"/>
    <w:rsid w:val="006162A4"/>
    <w:rsid w:val="00644FE2"/>
    <w:rsid w:val="006466BA"/>
    <w:rsid w:val="00654BA1"/>
    <w:rsid w:val="0065529F"/>
    <w:rsid w:val="006576C9"/>
    <w:rsid w:val="00675C37"/>
    <w:rsid w:val="0067640C"/>
    <w:rsid w:val="0068466F"/>
    <w:rsid w:val="006B077E"/>
    <w:rsid w:val="006B17FE"/>
    <w:rsid w:val="006D1A9A"/>
    <w:rsid w:val="006E2B5A"/>
    <w:rsid w:val="006E2FFA"/>
    <w:rsid w:val="006E678B"/>
    <w:rsid w:val="006E6E19"/>
    <w:rsid w:val="006F4DDE"/>
    <w:rsid w:val="00701BAE"/>
    <w:rsid w:val="00701FA8"/>
    <w:rsid w:val="0071778F"/>
    <w:rsid w:val="007275F4"/>
    <w:rsid w:val="00733A13"/>
    <w:rsid w:val="00734DE7"/>
    <w:rsid w:val="00740C41"/>
    <w:rsid w:val="007475E7"/>
    <w:rsid w:val="007508AF"/>
    <w:rsid w:val="00750AE5"/>
    <w:rsid w:val="00763FE8"/>
    <w:rsid w:val="007757F3"/>
    <w:rsid w:val="0078276C"/>
    <w:rsid w:val="0078322A"/>
    <w:rsid w:val="00783C08"/>
    <w:rsid w:val="007945FF"/>
    <w:rsid w:val="007A1EC4"/>
    <w:rsid w:val="007B6C8D"/>
    <w:rsid w:val="007C6D74"/>
    <w:rsid w:val="007D6C08"/>
    <w:rsid w:val="007E1BCB"/>
    <w:rsid w:val="007E6AEB"/>
    <w:rsid w:val="007F070E"/>
    <w:rsid w:val="00806BC0"/>
    <w:rsid w:val="00813EC2"/>
    <w:rsid w:val="00817486"/>
    <w:rsid w:val="00831F9E"/>
    <w:rsid w:val="00843A5F"/>
    <w:rsid w:val="00851D32"/>
    <w:rsid w:val="00857127"/>
    <w:rsid w:val="00863081"/>
    <w:rsid w:val="00866BFF"/>
    <w:rsid w:val="00873DA2"/>
    <w:rsid w:val="00893BDD"/>
    <w:rsid w:val="008973EE"/>
    <w:rsid w:val="008B2EB3"/>
    <w:rsid w:val="008B3B24"/>
    <w:rsid w:val="008B7F7B"/>
    <w:rsid w:val="008B7FC7"/>
    <w:rsid w:val="008E2BD6"/>
    <w:rsid w:val="008F4ACF"/>
    <w:rsid w:val="00910887"/>
    <w:rsid w:val="0091717A"/>
    <w:rsid w:val="00937D49"/>
    <w:rsid w:val="009405C8"/>
    <w:rsid w:val="009471B9"/>
    <w:rsid w:val="00953F1A"/>
    <w:rsid w:val="00956744"/>
    <w:rsid w:val="009649C3"/>
    <w:rsid w:val="00967A17"/>
    <w:rsid w:val="00971600"/>
    <w:rsid w:val="009973B4"/>
    <w:rsid w:val="009B5B36"/>
    <w:rsid w:val="009C28C1"/>
    <w:rsid w:val="009C4F9A"/>
    <w:rsid w:val="009E49E1"/>
    <w:rsid w:val="009F1CA7"/>
    <w:rsid w:val="009F5225"/>
    <w:rsid w:val="009F7EED"/>
    <w:rsid w:val="00A01C2A"/>
    <w:rsid w:val="00A13E21"/>
    <w:rsid w:val="00A150A2"/>
    <w:rsid w:val="00A20A3B"/>
    <w:rsid w:val="00A212CA"/>
    <w:rsid w:val="00A23CEC"/>
    <w:rsid w:val="00A3230F"/>
    <w:rsid w:val="00A3431C"/>
    <w:rsid w:val="00A4217E"/>
    <w:rsid w:val="00A43595"/>
    <w:rsid w:val="00A63112"/>
    <w:rsid w:val="00A63E7B"/>
    <w:rsid w:val="00A714C7"/>
    <w:rsid w:val="00A72210"/>
    <w:rsid w:val="00A80636"/>
    <w:rsid w:val="00A94B7B"/>
    <w:rsid w:val="00A94F96"/>
    <w:rsid w:val="00AB2B0B"/>
    <w:rsid w:val="00AB2CBC"/>
    <w:rsid w:val="00AB6468"/>
    <w:rsid w:val="00AC13C0"/>
    <w:rsid w:val="00AC43D6"/>
    <w:rsid w:val="00AD3722"/>
    <w:rsid w:val="00AD393C"/>
    <w:rsid w:val="00AD5FF0"/>
    <w:rsid w:val="00AE6463"/>
    <w:rsid w:val="00AF0AAB"/>
    <w:rsid w:val="00B07141"/>
    <w:rsid w:val="00B07C9C"/>
    <w:rsid w:val="00B1551E"/>
    <w:rsid w:val="00B25F53"/>
    <w:rsid w:val="00B449BC"/>
    <w:rsid w:val="00B5202E"/>
    <w:rsid w:val="00B63ACD"/>
    <w:rsid w:val="00B671CA"/>
    <w:rsid w:val="00B73689"/>
    <w:rsid w:val="00B82832"/>
    <w:rsid w:val="00B8760C"/>
    <w:rsid w:val="00BA329F"/>
    <w:rsid w:val="00BB0202"/>
    <w:rsid w:val="00BB629C"/>
    <w:rsid w:val="00BC2249"/>
    <w:rsid w:val="00BC57A9"/>
    <w:rsid w:val="00BD1471"/>
    <w:rsid w:val="00BE5E52"/>
    <w:rsid w:val="00BF3A33"/>
    <w:rsid w:val="00BF597E"/>
    <w:rsid w:val="00C1544A"/>
    <w:rsid w:val="00C33B32"/>
    <w:rsid w:val="00C345BE"/>
    <w:rsid w:val="00C51A36"/>
    <w:rsid w:val="00C55228"/>
    <w:rsid w:val="00C615C3"/>
    <w:rsid w:val="00C66B3A"/>
    <w:rsid w:val="00C96F95"/>
    <w:rsid w:val="00CB5821"/>
    <w:rsid w:val="00CC7FAB"/>
    <w:rsid w:val="00CD0716"/>
    <w:rsid w:val="00CE315A"/>
    <w:rsid w:val="00CF0C97"/>
    <w:rsid w:val="00CF7EF5"/>
    <w:rsid w:val="00D0297B"/>
    <w:rsid w:val="00D06F59"/>
    <w:rsid w:val="00D11694"/>
    <w:rsid w:val="00D14026"/>
    <w:rsid w:val="00D21211"/>
    <w:rsid w:val="00D2373B"/>
    <w:rsid w:val="00D36585"/>
    <w:rsid w:val="00D503EB"/>
    <w:rsid w:val="00D55B28"/>
    <w:rsid w:val="00D55F80"/>
    <w:rsid w:val="00D8388C"/>
    <w:rsid w:val="00D911B2"/>
    <w:rsid w:val="00D91D23"/>
    <w:rsid w:val="00DC15A8"/>
    <w:rsid w:val="00DC238C"/>
    <w:rsid w:val="00DD5752"/>
    <w:rsid w:val="00E064DC"/>
    <w:rsid w:val="00E11608"/>
    <w:rsid w:val="00E33A68"/>
    <w:rsid w:val="00E404DF"/>
    <w:rsid w:val="00E429AE"/>
    <w:rsid w:val="00E53827"/>
    <w:rsid w:val="00E56E3C"/>
    <w:rsid w:val="00E6224C"/>
    <w:rsid w:val="00E62E27"/>
    <w:rsid w:val="00E82E75"/>
    <w:rsid w:val="00E869ED"/>
    <w:rsid w:val="00E86F2D"/>
    <w:rsid w:val="00E90FE1"/>
    <w:rsid w:val="00E95183"/>
    <w:rsid w:val="00EA40AA"/>
    <w:rsid w:val="00EB0164"/>
    <w:rsid w:val="00EC36F8"/>
    <w:rsid w:val="00EC52CB"/>
    <w:rsid w:val="00ED0F62"/>
    <w:rsid w:val="00EE4C4A"/>
    <w:rsid w:val="00EF61D4"/>
    <w:rsid w:val="00F13271"/>
    <w:rsid w:val="00F1666B"/>
    <w:rsid w:val="00F167FA"/>
    <w:rsid w:val="00F227C1"/>
    <w:rsid w:val="00F44B02"/>
    <w:rsid w:val="00F468D5"/>
    <w:rsid w:val="00F768C5"/>
    <w:rsid w:val="00F76D58"/>
    <w:rsid w:val="00F85FCA"/>
    <w:rsid w:val="00FA02FE"/>
    <w:rsid w:val="00FB2844"/>
    <w:rsid w:val="00FC0238"/>
    <w:rsid w:val="00FC53A7"/>
    <w:rsid w:val="00FC5A74"/>
    <w:rsid w:val="00FC631C"/>
    <w:rsid w:val="00FE3FB2"/>
    <w:rsid w:val="00FE4E16"/>
    <w:rsid w:val="062909FA"/>
    <w:rsid w:val="0AB0452D"/>
    <w:rsid w:val="108219C2"/>
    <w:rsid w:val="11496BDA"/>
    <w:rsid w:val="13823E83"/>
    <w:rsid w:val="156773D8"/>
    <w:rsid w:val="1622124C"/>
    <w:rsid w:val="1941603C"/>
    <w:rsid w:val="1D2F7E3D"/>
    <w:rsid w:val="26C83D7B"/>
    <w:rsid w:val="2EB31F87"/>
    <w:rsid w:val="41ED30D5"/>
    <w:rsid w:val="4F1607CC"/>
    <w:rsid w:val="5EA12B9A"/>
    <w:rsid w:val="67922C6A"/>
    <w:rsid w:val="6CAC2162"/>
    <w:rsid w:val="6E994308"/>
    <w:rsid w:val="6F7C255F"/>
    <w:rsid w:val="715268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 Indent"/>
    <w:basedOn w:val="1"/>
    <w:link w:val="16"/>
    <w:semiHidden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link w:val="18"/>
    <w:unhideWhenUsed/>
    <w:qFormat/>
    <w:uiPriority w:val="0"/>
    <w:rPr>
      <w:rFonts w:ascii="宋体" w:hAnsi="Courier New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3"/>
    <w:link w:val="17"/>
    <w:qFormat/>
    <w:uiPriority w:val="0"/>
    <w:pPr>
      <w:spacing w:after="0"/>
      <w:ind w:left="0" w:leftChars="0" w:firstLine="420" w:firstLineChars="200"/>
      <w:jc w:val="left"/>
    </w:pPr>
    <w:rPr>
      <w:rFonts w:ascii="宋体" w:hAnsi="宋体" w:eastAsia="仿宋_GB2312"/>
      <w:color w:val="000000"/>
      <w:sz w:val="28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6">
    <w:name w:val="正文文本缩进 Char"/>
    <w:basedOn w:val="10"/>
    <w:link w:val="3"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character" w:customStyle="1" w:styleId="17">
    <w:name w:val="正文首行缩进 2 Char"/>
    <w:basedOn w:val="16"/>
    <w:link w:val="8"/>
    <w:qFormat/>
    <w:uiPriority w:val="0"/>
    <w:rPr>
      <w:rFonts w:ascii="宋体" w:hAnsi="宋体" w:eastAsia="仿宋_GB2312"/>
      <w:color w:val="000000"/>
      <w:sz w:val="28"/>
    </w:rPr>
  </w:style>
  <w:style w:type="character" w:customStyle="1" w:styleId="18">
    <w:name w:val="纯文本 Char"/>
    <w:basedOn w:val="10"/>
    <w:link w:val="4"/>
    <w:qFormat/>
    <w:uiPriority w:val="0"/>
    <w:rPr>
      <w:rFonts w:ascii="宋体" w:hAnsi="Courier New" w:eastAsia="宋体" w:cs="Times New Roman"/>
      <w:kern w:val="2"/>
      <w:sz w:val="21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5405</Words>
  <Characters>6203</Characters>
  <Lines>107</Lines>
  <Paragraphs>30</Paragraphs>
  <TotalTime>20</TotalTime>
  <ScaleCrop>false</ScaleCrop>
  <LinksUpToDate>false</LinksUpToDate>
  <CharactersWithSpaces>7054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伍光华</cp:lastModifiedBy>
  <dcterms:modified xsi:type="dcterms:W3CDTF">2023-02-25T01:58:23Z</dcterms:modified>
  <cp:revision>260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7AB8E9A8C2DE47EF9252BCB12CE5DE1E</vt:lpwstr>
  </property>
  <property fmtid="{D5CDD505-2E9C-101B-9397-08002B2CF9AE}" pid="4" name="commondata">
    <vt:lpwstr>eyJoZGlkIjoiOThlOThiN2ZiYWFhMTVmZWIyMjliZTE5YjA2MDUwOTgifQ==</vt:lpwstr>
  </property>
</Properties>
</file>