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027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江苏新曙光电力器材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