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宋体" w:eastAsia="隶书"/>
          <w:bCs/>
          <w:color w:val="000000"/>
          <w:sz w:val="36"/>
          <w:szCs w:val="36"/>
        </w:rPr>
      </w:pPr>
      <w:r>
        <w:rPr>
          <w:rFonts w:hint="eastAsia" w:ascii="宋体" w:hAnsi="宋体" w:eastAsia="宋体" w:cs="宋体"/>
          <w:b/>
          <w:bCs/>
          <w:sz w:val="30"/>
          <w:szCs w:val="30"/>
        </w:rPr>
        <w:t>管理体系审核记录表</w:t>
      </w:r>
    </w:p>
    <w:p>
      <w:pPr>
        <w:pStyle w:val="13"/>
        <w:rPr>
          <w:rFonts w:hint="eastAsia"/>
          <w:lang w:eastAsia="zh-CN"/>
        </w:rPr>
      </w:pP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000"/>
        <w:gridCol w:w="11263"/>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57"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0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263"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管理层</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张艳平</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张杰</w:t>
            </w:r>
          </w:p>
        </w:tc>
        <w:tc>
          <w:tcPr>
            <w:tcW w:w="989"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57" w:type="dxa"/>
            <w:vMerge w:val="continue"/>
            <w:vAlign w:val="center"/>
          </w:tcPr>
          <w:p>
            <w:pPr>
              <w:rPr>
                <w:rFonts w:hint="eastAsia" w:ascii="宋体" w:hAnsi="宋体" w:eastAsia="宋体" w:cs="宋体"/>
                <w:sz w:val="21"/>
                <w:szCs w:val="21"/>
              </w:rPr>
            </w:pPr>
          </w:p>
        </w:tc>
        <w:tc>
          <w:tcPr>
            <w:tcW w:w="1000" w:type="dxa"/>
            <w:vMerge w:val="continue"/>
            <w:vAlign w:val="center"/>
          </w:tcPr>
          <w:p>
            <w:pPr>
              <w:rPr>
                <w:rFonts w:hint="eastAsia" w:ascii="宋体" w:hAnsi="宋体" w:eastAsia="宋体" w:cs="宋体"/>
                <w:sz w:val="21"/>
                <w:szCs w:val="21"/>
              </w:rPr>
            </w:pPr>
          </w:p>
        </w:tc>
        <w:tc>
          <w:tcPr>
            <w:tcW w:w="11263" w:type="dxa"/>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 xml:space="preserve">杨园             </w:t>
            </w:r>
            <w:r>
              <w:rPr>
                <w:rFonts w:hint="eastAsia" w:ascii="宋体" w:hAnsi="宋体" w:eastAsia="宋体" w:cs="宋体"/>
                <w:sz w:val="21"/>
                <w:szCs w:val="21"/>
              </w:rPr>
              <w:t>审核时间：202</w:t>
            </w:r>
            <w:r>
              <w:rPr>
                <w:rFonts w:hint="eastAsia" w:ascii="宋体" w:hAnsi="宋体" w:eastAsia="宋体" w:cs="宋体"/>
                <w:sz w:val="21"/>
                <w:szCs w:val="21"/>
                <w:lang w:val="en-US" w:eastAsia="zh-CN"/>
              </w:rPr>
              <w:t xml:space="preserve">3年3月3日 </w:t>
            </w:r>
          </w:p>
        </w:tc>
        <w:tc>
          <w:tcPr>
            <w:tcW w:w="989"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57" w:type="dxa"/>
            <w:vMerge w:val="continue"/>
            <w:vAlign w:val="center"/>
          </w:tcPr>
          <w:p>
            <w:pPr>
              <w:rPr>
                <w:rFonts w:hint="eastAsia" w:ascii="宋体" w:hAnsi="宋体" w:eastAsia="宋体" w:cs="宋体"/>
                <w:sz w:val="21"/>
                <w:szCs w:val="21"/>
              </w:rPr>
            </w:pPr>
          </w:p>
        </w:tc>
        <w:tc>
          <w:tcPr>
            <w:tcW w:w="1000" w:type="dxa"/>
            <w:vMerge w:val="continue"/>
            <w:vAlign w:val="center"/>
          </w:tcPr>
          <w:p>
            <w:pPr>
              <w:rPr>
                <w:rFonts w:hint="eastAsia" w:ascii="宋体" w:hAnsi="宋体" w:eastAsia="宋体" w:cs="宋体"/>
                <w:sz w:val="21"/>
                <w:szCs w:val="21"/>
              </w:rPr>
            </w:pPr>
          </w:p>
        </w:tc>
        <w:tc>
          <w:tcPr>
            <w:tcW w:w="11263" w:type="dxa"/>
            <w:vAlign w:val="center"/>
          </w:tcPr>
          <w:p>
            <w:pPr>
              <w:rPr>
                <w:rFonts w:hint="eastAsia"/>
              </w:rPr>
            </w:pPr>
            <w:r>
              <w:rPr>
                <w:rFonts w:hint="eastAsia"/>
              </w:rPr>
              <w:t>审核条款：</w:t>
            </w:r>
          </w:p>
          <w:p>
            <w:pPr>
              <w:tabs>
                <w:tab w:val="left" w:pos="709"/>
              </w:tabs>
              <w:ind w:right="57"/>
              <w:jc w:val="left"/>
              <w:rPr>
                <w:rFonts w:hint="default" w:eastAsia="宋体"/>
                <w:sz w:val="21"/>
                <w:szCs w:val="21"/>
                <w:lang w:val="en-US" w:eastAsia="zh-CN"/>
              </w:rPr>
            </w:pPr>
            <w:r>
              <w:rPr>
                <w:rFonts w:hint="eastAsia"/>
                <w:sz w:val="21"/>
                <w:szCs w:val="21"/>
              </w:rPr>
              <w:t>QMS：4.1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sz w:val="21"/>
                <w:szCs w:val="21"/>
              </w:rPr>
              <w:t>5.1</w:t>
            </w:r>
            <w:r>
              <w:rPr>
                <w:rFonts w:hint="eastAsia"/>
                <w:sz w:val="21"/>
                <w:szCs w:val="21"/>
                <w:lang w:val="en-US" w:eastAsia="zh-CN"/>
              </w:rPr>
              <w:t>/</w:t>
            </w:r>
            <w:r>
              <w:rPr>
                <w:sz w:val="21"/>
                <w:szCs w:val="21"/>
              </w:rPr>
              <w:t>5.2</w:t>
            </w:r>
            <w:r>
              <w:rPr>
                <w:rFonts w:hint="eastAsia"/>
                <w:sz w:val="21"/>
                <w:szCs w:val="21"/>
                <w:lang w:val="en-US" w:eastAsia="zh-CN"/>
              </w:rPr>
              <w:t>/</w:t>
            </w:r>
            <w:r>
              <w:rPr>
                <w:sz w:val="21"/>
                <w:szCs w:val="21"/>
              </w:rPr>
              <w:t>5.3</w:t>
            </w:r>
            <w:r>
              <w:rPr>
                <w:rFonts w:hint="eastAsia"/>
                <w:sz w:val="21"/>
                <w:szCs w:val="21"/>
                <w:lang w:val="en-US" w:eastAsia="zh-CN"/>
              </w:rPr>
              <w:t>/6.1/</w:t>
            </w:r>
            <w:r>
              <w:rPr>
                <w:rFonts w:hint="eastAsia"/>
                <w:sz w:val="21"/>
                <w:szCs w:val="21"/>
              </w:rPr>
              <w:t>6.2</w:t>
            </w:r>
            <w:r>
              <w:rPr>
                <w:rFonts w:hint="eastAsia"/>
                <w:sz w:val="21"/>
                <w:szCs w:val="21"/>
                <w:lang w:val="en-US" w:eastAsia="zh-CN"/>
              </w:rPr>
              <w:t>/</w:t>
            </w:r>
            <w:r>
              <w:rPr>
                <w:sz w:val="21"/>
                <w:szCs w:val="21"/>
              </w:rPr>
              <w:t>6.3</w:t>
            </w:r>
            <w:r>
              <w:rPr>
                <w:rFonts w:hint="eastAsia"/>
                <w:sz w:val="21"/>
                <w:szCs w:val="21"/>
                <w:lang w:val="en-US" w:eastAsia="zh-CN"/>
              </w:rPr>
              <w:t>/</w:t>
            </w:r>
            <w:r>
              <w:rPr>
                <w:sz w:val="21"/>
                <w:szCs w:val="21"/>
              </w:rPr>
              <w:t>7</w:t>
            </w:r>
            <w:r>
              <w:rPr>
                <w:rFonts w:hint="eastAsia"/>
                <w:sz w:val="21"/>
                <w:szCs w:val="21"/>
                <w:lang w:val="en-US" w:eastAsia="zh-CN"/>
              </w:rPr>
              <w:t>.1/9.3/10.1/10.3</w:t>
            </w:r>
          </w:p>
          <w:p>
            <w:pPr>
              <w:tabs>
                <w:tab w:val="left" w:pos="709"/>
              </w:tabs>
              <w:ind w:right="57"/>
              <w:jc w:val="left"/>
              <w:rPr>
                <w:rFonts w:hint="eastAsia"/>
              </w:rPr>
            </w:pPr>
            <w:r>
              <w:rPr>
                <w:rFonts w:hint="eastAsia"/>
                <w:sz w:val="21"/>
                <w:szCs w:val="21"/>
              </w:rPr>
              <w:t>EMS：4.1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5.1 </w:t>
            </w:r>
            <w:r>
              <w:rPr>
                <w:rFonts w:hint="eastAsia"/>
                <w:sz w:val="21"/>
                <w:szCs w:val="21"/>
                <w:lang w:val="en-US" w:eastAsia="zh-CN"/>
              </w:rPr>
              <w:t>/</w:t>
            </w:r>
            <w:r>
              <w:rPr>
                <w:rFonts w:hint="eastAsia"/>
                <w:sz w:val="21"/>
                <w:szCs w:val="21"/>
              </w:rPr>
              <w:t xml:space="preserve">5.2 </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 xml:space="preserve"> 6.1</w:t>
            </w:r>
            <w:r>
              <w:rPr>
                <w:rFonts w:hint="eastAsia"/>
                <w:sz w:val="21"/>
                <w:szCs w:val="21"/>
                <w:lang w:val="en-US" w:eastAsia="zh-CN"/>
              </w:rPr>
              <w:t>/</w:t>
            </w:r>
            <w:r>
              <w:rPr>
                <w:rFonts w:hint="eastAsia"/>
                <w:sz w:val="21"/>
                <w:szCs w:val="21"/>
              </w:rPr>
              <w:t xml:space="preserve"> 6.2 </w:t>
            </w:r>
            <w:r>
              <w:rPr>
                <w:rFonts w:hint="eastAsia"/>
                <w:sz w:val="21"/>
                <w:szCs w:val="21"/>
                <w:lang w:val="en-US" w:eastAsia="zh-CN"/>
              </w:rPr>
              <w:t>/</w:t>
            </w:r>
            <w:r>
              <w:rPr>
                <w:rFonts w:hint="eastAsia"/>
                <w:sz w:val="21"/>
                <w:szCs w:val="21"/>
              </w:rPr>
              <w:t>7.1</w:t>
            </w:r>
            <w:r>
              <w:rPr>
                <w:rFonts w:hint="eastAsia"/>
                <w:sz w:val="21"/>
                <w:szCs w:val="21"/>
                <w:lang w:val="en-US" w:eastAsia="zh-CN"/>
              </w:rPr>
              <w:t>/</w:t>
            </w:r>
            <w:r>
              <w:rPr>
                <w:rFonts w:hint="eastAsia"/>
                <w:sz w:val="21"/>
                <w:szCs w:val="21"/>
              </w:rPr>
              <w:t xml:space="preserve"> 9.3</w:t>
            </w:r>
            <w:r>
              <w:rPr>
                <w:rFonts w:hint="eastAsia"/>
                <w:sz w:val="21"/>
                <w:szCs w:val="21"/>
                <w:lang w:val="en-US" w:eastAsia="zh-CN"/>
              </w:rPr>
              <w:t>/</w:t>
            </w:r>
            <w:r>
              <w:rPr>
                <w:rFonts w:hint="eastAsia"/>
                <w:sz w:val="21"/>
                <w:szCs w:val="21"/>
              </w:rPr>
              <w:t xml:space="preserve"> 10.1</w:t>
            </w:r>
            <w:r>
              <w:rPr>
                <w:rFonts w:hint="eastAsia"/>
                <w:sz w:val="21"/>
                <w:szCs w:val="21"/>
                <w:lang w:val="en-US" w:eastAsia="zh-CN"/>
              </w:rPr>
              <w:t>/10.3</w:t>
            </w:r>
          </w:p>
        </w:tc>
        <w:tc>
          <w:tcPr>
            <w:tcW w:w="989"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基本信息</w:t>
            </w:r>
          </w:p>
        </w:tc>
        <w:tc>
          <w:tcPr>
            <w:tcW w:w="1000" w:type="dxa"/>
            <w:vAlign w:val="center"/>
          </w:tcPr>
          <w:p>
            <w:pPr>
              <w:rPr>
                <w:rFonts w:hint="eastAsia" w:ascii="宋体" w:hAnsi="宋体" w:eastAsia="宋体" w:cs="宋体"/>
                <w:kern w:val="2"/>
                <w:sz w:val="21"/>
                <w:szCs w:val="21"/>
                <w:lang w:val="en-US" w:eastAsia="zh-CN" w:bidi="ar-SA"/>
              </w:rPr>
            </w:pPr>
          </w:p>
        </w:tc>
        <w:tc>
          <w:tcPr>
            <w:tcW w:w="11263" w:type="dxa"/>
            <w:vAlign w:val="center"/>
          </w:tcPr>
          <w:p>
            <w:pPr>
              <w:rPr>
                <w:rFonts w:hint="eastAsia"/>
              </w:rPr>
            </w:pPr>
            <w:r>
              <w:rPr>
                <w:rFonts w:hint="eastAsia"/>
              </w:rPr>
              <w:t>●企业基本信息</w:t>
            </w:r>
          </w:p>
          <w:p>
            <w:pPr>
              <w:rPr>
                <w:rFonts w:hint="default"/>
                <w:lang w:val="en-US" w:eastAsia="zh-CN"/>
              </w:rPr>
            </w:pPr>
            <w:r>
              <w:rPr>
                <w:rFonts w:hint="eastAsia"/>
              </w:rPr>
              <w:t>1、</w:t>
            </w:r>
            <w:r>
              <w:rPr>
                <w:rFonts w:hint="eastAsia"/>
                <w:lang w:val="en-US" w:eastAsia="zh-CN"/>
              </w:rPr>
              <w:t>收集了企业的</w:t>
            </w:r>
            <w:r>
              <w:rPr>
                <w:rFonts w:hint="eastAsia"/>
              </w:rPr>
              <w:t xml:space="preserve">营业执照，统一社会信用代码： </w:t>
            </w:r>
            <w:r>
              <w:rPr>
                <w:rFonts w:hint="eastAsia"/>
                <w:lang w:val="en-US" w:eastAsia="zh-CN"/>
              </w:rPr>
              <w:t>91130903685749646Y</w:t>
            </w:r>
            <w:r>
              <w:rPr>
                <w:rFonts w:hint="eastAsia"/>
              </w:rPr>
              <w:t>，</w:t>
            </w:r>
            <w:r>
              <w:rPr>
                <w:rFonts w:hint="eastAsia"/>
                <w:lang w:val="en-US" w:eastAsia="zh-CN"/>
              </w:rPr>
              <w:t>营业执照无变更；</w:t>
            </w:r>
          </w:p>
          <w:p>
            <w:pPr>
              <w:numPr>
                <w:ilvl w:val="0"/>
                <w:numId w:val="2"/>
              </w:numPr>
              <w:rPr>
                <w:rFonts w:hint="eastAsia"/>
                <w:lang w:eastAsia="zh-CN"/>
              </w:rPr>
            </w:pPr>
            <w:r>
              <w:rPr>
                <w:rFonts w:hint="eastAsia"/>
                <w:lang w:val="en-US" w:eastAsia="zh-CN"/>
              </w:rPr>
              <w:t>该企业</w:t>
            </w:r>
            <w:r>
              <w:rPr>
                <w:rFonts w:hint="eastAsia"/>
              </w:rPr>
              <w:t>成立于20</w:t>
            </w:r>
            <w:r>
              <w:rPr>
                <w:rFonts w:hint="eastAsia"/>
                <w:lang w:val="en-US" w:eastAsia="zh-CN"/>
              </w:rPr>
              <w:t>09</w:t>
            </w:r>
            <w:r>
              <w:rPr>
                <w:rFonts w:hint="eastAsia"/>
              </w:rPr>
              <w:t>年</w:t>
            </w:r>
            <w:r>
              <w:rPr>
                <w:rFonts w:hint="eastAsia"/>
                <w:lang w:val="en-US" w:eastAsia="zh-CN"/>
              </w:rPr>
              <w:t>03</w:t>
            </w:r>
            <w:r>
              <w:rPr>
                <w:rFonts w:hint="eastAsia"/>
              </w:rPr>
              <w:t>月</w:t>
            </w:r>
            <w:r>
              <w:rPr>
                <w:rFonts w:hint="eastAsia"/>
                <w:lang w:val="en-US" w:eastAsia="zh-CN"/>
              </w:rPr>
              <w:t>23</w:t>
            </w:r>
            <w:r>
              <w:rPr>
                <w:rFonts w:hint="eastAsia"/>
              </w:rPr>
              <w:t>日,注册资本</w:t>
            </w:r>
            <w:r>
              <w:rPr>
                <w:rFonts w:hint="eastAsia"/>
                <w:lang w:val="en-US" w:eastAsia="zh-CN"/>
              </w:rPr>
              <w:t>5</w:t>
            </w:r>
            <w:r>
              <w:rPr>
                <w:rFonts w:hint="eastAsia"/>
              </w:rPr>
              <w:t>00万元，注册地址：沧州市运河区迎宾北道（原西二环路）饲料加工厂门口西侧第二间，生产</w:t>
            </w:r>
            <w:r>
              <w:rPr>
                <w:rFonts w:hint="eastAsia"/>
                <w:lang w:val="en-US" w:eastAsia="zh-CN"/>
              </w:rPr>
              <w:t>经营</w:t>
            </w:r>
            <w:r>
              <w:rPr>
                <w:rFonts w:hint="eastAsia"/>
              </w:rPr>
              <w:t>地址</w:t>
            </w:r>
            <w:r>
              <w:rPr>
                <w:rFonts w:hint="eastAsia"/>
                <w:lang w:val="en-US" w:eastAsia="zh-CN"/>
              </w:rPr>
              <w:t>: 沧州市运河区迎宾北道（原西二环路）饲料加工厂门口西侧第二间；经营地址无变更，与实际一致；</w:t>
            </w:r>
          </w:p>
          <w:p>
            <w:pPr>
              <w:numPr>
                <w:ilvl w:val="0"/>
                <w:numId w:val="2"/>
              </w:numPr>
              <w:rPr>
                <w:rFonts w:hint="eastAsia"/>
              </w:rPr>
            </w:pPr>
            <w:r>
              <w:rPr>
                <w:rFonts w:hint="eastAsia"/>
              </w:rPr>
              <w:t>认证范围</w:t>
            </w:r>
            <w:r>
              <w:rPr>
                <w:rFonts w:hint="eastAsia"/>
                <w:lang w:val="en-US" w:eastAsia="zh-CN"/>
              </w:rPr>
              <w:t>无变更</w:t>
            </w:r>
            <w:r>
              <w:rPr>
                <w:rFonts w:hint="eastAsia"/>
              </w:rPr>
              <w:t>：</w:t>
            </w:r>
          </w:p>
          <w:p>
            <w:pPr>
              <w:numPr>
                <w:numId w:val="0"/>
              </w:numPr>
              <w:rPr>
                <w:rFonts w:hint="eastAsia"/>
              </w:rPr>
            </w:pPr>
            <w:r>
              <w:rPr>
                <w:rFonts w:hint="eastAsia"/>
                <w:lang w:val="en-US" w:eastAsia="zh-CN"/>
              </w:rPr>
              <w:t xml:space="preserve">  </w:t>
            </w:r>
            <w:r>
              <w:rPr>
                <w:rFonts w:hint="eastAsia"/>
              </w:rPr>
              <w:t>Q：润滑油的生产</w:t>
            </w:r>
          </w:p>
          <w:p>
            <w:pPr>
              <w:ind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E：润滑油的生产所涉及场所的相关环境管理活动</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4、张总介绍证书使用情况：证书主要用于对客户展示和投标使用；</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5、初审不符合验证：初审不符合发生在生技部Q7.1.5条款，不符合已整改，计量器具已校准，现场查看均在有效期内，本次审核未发现类似问题；</w:t>
            </w:r>
          </w:p>
          <w:p>
            <w:pPr>
              <w:rPr>
                <w:rFonts w:hint="default"/>
                <w:lang w:val="en-US" w:eastAsia="zh-CN"/>
              </w:rPr>
            </w:pPr>
            <w:r>
              <w:rPr>
                <w:rFonts w:hint="eastAsia" w:ascii="Times New Roman" w:hAnsi="Times New Roman" w:eastAsia="宋体" w:cs="Times New Roman"/>
                <w:lang w:val="en-US" w:eastAsia="zh-CN"/>
              </w:rPr>
              <w:t>6、自上次审核以来，未发生质量事故、顾客投诉，未发生环境事故，近一年未受到上级主管部门抽查；</w:t>
            </w:r>
          </w:p>
        </w:tc>
        <w:tc>
          <w:tcPr>
            <w:tcW w:w="989" w:type="dxa"/>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组织及其环境</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4.1</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张总介绍，企业</w:t>
            </w:r>
            <w:r>
              <w:rPr>
                <w:rFonts w:hint="eastAsia" w:ascii="宋体" w:hAnsi="宋体" w:eastAsia="宋体" w:cs="宋体"/>
                <w:sz w:val="21"/>
                <w:szCs w:val="21"/>
              </w:rPr>
              <w:t>经营</w:t>
            </w:r>
            <w:r>
              <w:rPr>
                <w:rFonts w:hint="eastAsia" w:ascii="宋体" w:hAnsi="宋体" w:eastAsia="宋体" w:cs="宋体"/>
                <w:sz w:val="21"/>
                <w:szCs w:val="21"/>
                <w:lang w:val="en-US" w:eastAsia="zh-CN"/>
              </w:rPr>
              <w:t>润滑油的生产已十余年，在行业内信誉良好，</w:t>
            </w:r>
            <w:r>
              <w:rPr>
                <w:rFonts w:hint="eastAsia" w:ascii="宋体" w:hAnsi="宋体" w:eastAsia="宋体" w:cs="宋体"/>
                <w:sz w:val="21"/>
                <w:szCs w:val="21"/>
              </w:rPr>
              <w:t>企业的业务基本稳定。</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企业取得了“高新技术企业”“河北省“专精特新”中小企业”等荣誉称号。</w:t>
            </w:r>
          </w:p>
          <w:p>
            <w:pPr>
              <w:rPr>
                <w:rFonts w:hint="eastAsia" w:ascii="宋体" w:hAnsi="宋体" w:eastAsia="宋体" w:cs="宋体"/>
                <w:sz w:val="21"/>
                <w:szCs w:val="21"/>
              </w:rPr>
            </w:pPr>
            <w:r>
              <w:rPr>
                <w:rFonts w:hint="eastAsia" w:ascii="宋体" w:hAnsi="宋体" w:eastAsia="宋体" w:cs="宋体"/>
                <w:sz w:val="21"/>
                <w:szCs w:val="21"/>
                <w:lang w:val="en-US" w:eastAsia="zh-CN"/>
              </w:rPr>
              <w:t>张总介绍，仍执行《组织环境分析控制程序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YDBR-PD26》，</w:t>
            </w:r>
            <w:r>
              <w:rPr>
                <w:rFonts w:hint="eastAsia" w:ascii="宋体" w:hAnsi="宋体" w:eastAsia="宋体" w:cs="宋体"/>
                <w:sz w:val="21"/>
                <w:szCs w:val="21"/>
              </w:rPr>
              <w:t>管理层</w:t>
            </w:r>
            <w:r>
              <w:rPr>
                <w:rFonts w:hint="eastAsia" w:ascii="宋体" w:hAnsi="宋体" w:eastAsia="宋体" w:cs="宋体"/>
                <w:sz w:val="21"/>
                <w:szCs w:val="21"/>
                <w:lang w:val="en-US" w:eastAsia="zh-CN"/>
              </w:rPr>
              <w:t>每年召开内外部环境分析会议，</w:t>
            </w:r>
            <w:r>
              <w:rPr>
                <w:rFonts w:hint="eastAsia" w:ascii="宋体" w:hAnsi="宋体" w:eastAsia="宋体" w:cs="宋体"/>
                <w:sz w:val="21"/>
                <w:szCs w:val="21"/>
              </w:rPr>
              <w:t>识别、确定了与战略、目标相关、影响实现管理体系预期结果的内、外部因素，并且实时关注、评审不断变化的内外部信息。</w:t>
            </w:r>
          </w:p>
          <w:p>
            <w:pPr>
              <w:rPr>
                <w:rFonts w:hint="eastAsia" w:ascii="宋体" w:hAnsi="宋体" w:eastAsia="宋体" w:cs="宋体"/>
                <w:sz w:val="21"/>
                <w:szCs w:val="21"/>
              </w:rPr>
            </w:pPr>
            <w:r>
              <w:rPr>
                <w:rFonts w:hint="eastAsia" w:ascii="宋体" w:hAnsi="宋体" w:eastAsia="宋体" w:cs="宋体"/>
                <w:sz w:val="21"/>
                <w:szCs w:val="21"/>
              </w:rPr>
              <w:t>提供组织内外部环境识别表</w:t>
            </w:r>
          </w:p>
          <w:p>
            <w:pPr>
              <w:rPr>
                <w:rFonts w:hint="eastAsia" w:ascii="宋体" w:hAnsi="宋体" w:eastAsia="宋体" w:cs="宋体"/>
                <w:sz w:val="21"/>
                <w:szCs w:val="21"/>
                <w:lang w:eastAsia="zh-CN"/>
              </w:rPr>
            </w:pPr>
            <w:r>
              <w:rPr>
                <w:rFonts w:hint="eastAsia" w:ascii="宋体" w:hAnsi="宋体" w:eastAsia="宋体" w:cs="宋体"/>
                <w:sz w:val="21"/>
                <w:szCs w:val="21"/>
              </w:rPr>
              <w:t>--外部环境：国际环境、社会环境、政治环境、经济环境、空气质量环境等</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--内部环境；企业文化、公司价值观、知识积累、绩效等</w:t>
            </w:r>
            <w:r>
              <w:rPr>
                <w:rFonts w:hint="eastAsia" w:ascii="宋体" w:hAnsi="宋体" w:eastAsia="宋体" w:cs="宋体"/>
                <w:sz w:val="21"/>
                <w:szCs w:val="21"/>
                <w:lang w:eastAsia="zh-CN"/>
              </w:rPr>
              <w:t>。</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外部环境识别充分</w:t>
            </w:r>
            <w:r>
              <w:rPr>
                <w:rFonts w:hint="eastAsia" w:ascii="宋体" w:hAnsi="宋体" w:eastAsia="宋体" w:cs="宋体"/>
                <w:sz w:val="21"/>
                <w:szCs w:val="21"/>
                <w:lang w:eastAsia="zh-CN"/>
              </w:rPr>
              <w:t>、</w:t>
            </w:r>
            <w:r>
              <w:rPr>
                <w:rFonts w:hint="eastAsia" w:ascii="宋体" w:hAnsi="宋体" w:eastAsia="宋体" w:cs="宋体"/>
                <w:sz w:val="21"/>
                <w:szCs w:val="21"/>
              </w:rPr>
              <w:t>有效。</w:t>
            </w:r>
            <w:r>
              <w:rPr>
                <w:rFonts w:hint="eastAsia" w:ascii="宋体" w:hAnsi="宋体" w:eastAsia="宋体" w:cs="宋体"/>
                <w:sz w:val="21"/>
                <w:szCs w:val="21"/>
                <w:lang w:val="en-US" w:eastAsia="zh-CN"/>
              </w:rPr>
              <w:t>已输入管理评审。</w:t>
            </w:r>
          </w:p>
        </w:tc>
        <w:tc>
          <w:tcPr>
            <w:tcW w:w="989"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相关方的需求和期望</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4.2</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仍执行公司《相关方管理控制程序YDBR-PD15》，</w:t>
            </w:r>
            <w:r>
              <w:rPr>
                <w:rFonts w:hint="eastAsia" w:ascii="宋体" w:hAnsi="宋体" w:eastAsia="宋体" w:cs="宋体"/>
                <w:sz w:val="21"/>
                <w:szCs w:val="21"/>
              </w:rPr>
              <w:t>公司识别并确定了影响公司提供产品和服务能力的利益相关方：顾客、员工、供应商等。管代介绍公司通过投标、合同约定、不同形式沟通（如：电话、面对面、调查问卷等）形式了解相关方的需求，然后提供出满足他们要求提供优质产品和完善的服务，目前公司能满足相关方的需求和期望。</w:t>
            </w:r>
          </w:p>
          <w:p>
            <w:pPr>
              <w:rPr>
                <w:rFonts w:hint="default"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提供了《相关方的需求和期望清单JL-4.2-01》，对相关方需求和期望进行了识别，制定了检测指标，检测频率检测部门。</w:t>
            </w:r>
          </w:p>
          <w:p>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抽</w:t>
            </w:r>
            <w:r>
              <w:rPr>
                <w:rFonts w:hint="eastAsia" w:ascii="宋体" w:hAnsi="宋体" w:eastAsia="宋体" w:cs="宋体"/>
                <w:sz w:val="21"/>
                <w:szCs w:val="21"/>
              </w:rPr>
              <w:t>相关方：</w:t>
            </w:r>
            <w:r>
              <w:rPr>
                <w:rFonts w:hint="eastAsia" w:ascii="宋体" w:hAnsi="宋体" w:eastAsia="宋体" w:cs="宋体"/>
                <w:sz w:val="21"/>
                <w:szCs w:val="21"/>
                <w:lang w:val="en-US" w:eastAsia="zh-CN"/>
              </w:rPr>
              <w:t>审核机构；识别其</w:t>
            </w:r>
            <w:r>
              <w:rPr>
                <w:rFonts w:hint="eastAsia" w:ascii="宋体" w:hAnsi="宋体" w:eastAsia="宋体" w:cs="宋体"/>
                <w:sz w:val="21"/>
                <w:szCs w:val="21"/>
              </w:rPr>
              <w:t>需求和期望：</w:t>
            </w:r>
            <w:r>
              <w:rPr>
                <w:rFonts w:hint="eastAsia" w:ascii="宋体" w:hAnsi="宋体" w:eastAsia="宋体" w:cs="宋体"/>
                <w:sz w:val="21"/>
                <w:szCs w:val="21"/>
                <w:lang w:val="en-US" w:eastAsia="zh-CN"/>
              </w:rPr>
              <w:t>公司体系运作的有效性、充分性和符合性；监测指标：内审、外审、管理评审；频率每年一次；检测部门：办公室；</w:t>
            </w:r>
          </w:p>
          <w:p>
            <w:pPr>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抽</w:t>
            </w:r>
            <w:r>
              <w:rPr>
                <w:rFonts w:hint="eastAsia" w:ascii="宋体" w:hAnsi="宋体" w:eastAsia="宋体" w:cs="宋体"/>
                <w:sz w:val="21"/>
                <w:szCs w:val="21"/>
              </w:rPr>
              <w:t>相关方：</w:t>
            </w:r>
            <w:r>
              <w:rPr>
                <w:rFonts w:hint="eastAsia" w:ascii="宋体" w:hAnsi="宋体" w:eastAsia="宋体" w:cs="宋体"/>
                <w:sz w:val="21"/>
                <w:szCs w:val="21"/>
                <w:lang w:val="en-US" w:eastAsia="zh-CN"/>
              </w:rPr>
              <w:t>政府机构，识别其需求和期望：安全生产，环保生产，就业最大化，经济效益好；监测指标：事故事件考核，效益等；频率每年一次；检测部门：办公室；</w:t>
            </w:r>
          </w:p>
          <w:p>
            <w:pPr>
              <w:rPr>
                <w:rFonts w:hint="eastAsia" w:ascii="宋体" w:hAnsi="宋体" w:eastAsia="宋体" w:cs="宋体"/>
                <w:sz w:val="21"/>
                <w:szCs w:val="21"/>
              </w:rPr>
            </w:pPr>
            <w:r>
              <w:rPr>
                <w:rFonts w:hint="eastAsia" w:ascii="宋体" w:hAnsi="宋体" w:eastAsia="宋体" w:cs="宋体"/>
                <w:sz w:val="21"/>
                <w:szCs w:val="21"/>
              </w:rPr>
              <w:t>另抽其他相关方需求及措施，均保存完好，符合要求。</w:t>
            </w:r>
          </w:p>
          <w:p>
            <w:pPr>
              <w:rPr>
                <w:rFonts w:hint="eastAsia" w:ascii="宋体" w:hAnsi="宋体" w:eastAsia="宋体" w:cs="宋体"/>
                <w:sz w:val="21"/>
                <w:szCs w:val="21"/>
              </w:rPr>
            </w:pPr>
            <w:r>
              <w:rPr>
                <w:rFonts w:hint="eastAsia" w:ascii="宋体" w:hAnsi="宋体" w:eastAsia="宋体" w:cs="宋体"/>
                <w:sz w:val="21"/>
                <w:szCs w:val="21"/>
              </w:rPr>
              <w:t>目前企业未发生处罚、相关方投诉事件。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张总介绍，公司管理层及相关部门将持续关注相关方需求的变化，必要时通过评估风险和机遇，调整管理体系目标和指标或变更管理过程以适应这些变化或实现改进。</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对这些相关方监视和评审的方法有：上级文件、标准和规范的获取、定期环境监测、沟通等。已输入管理评审。</w:t>
            </w:r>
          </w:p>
        </w:tc>
        <w:tc>
          <w:tcPr>
            <w:tcW w:w="989"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质量管理体系的范围</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4.3</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查看企业管理</w:t>
            </w:r>
            <w:r>
              <w:rPr>
                <w:rFonts w:hint="eastAsia" w:ascii="宋体" w:hAnsi="宋体" w:eastAsia="宋体" w:cs="宋体"/>
                <w:sz w:val="21"/>
                <w:szCs w:val="21"/>
              </w:rPr>
              <w:t>手册中明确了体系的范围，管理手册可获得并得到保持。</w:t>
            </w:r>
          </w:p>
          <w:p>
            <w:pPr>
              <w:rPr>
                <w:rFonts w:hint="eastAsia" w:ascii="宋体" w:hAnsi="宋体" w:eastAsia="宋体" w:cs="宋体"/>
                <w:sz w:val="21"/>
                <w:szCs w:val="21"/>
              </w:rPr>
            </w:pPr>
            <w:r>
              <w:rPr>
                <w:rFonts w:hint="eastAsia" w:ascii="宋体" w:hAnsi="宋体" w:eastAsia="宋体" w:cs="宋体"/>
                <w:sz w:val="21"/>
                <w:szCs w:val="21"/>
              </w:rPr>
              <w:t>公司明确了质量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管理体系的边界：</w:t>
            </w:r>
          </w:p>
          <w:p>
            <w:pPr>
              <w:rPr>
                <w:rFonts w:hint="eastAsia" w:ascii="宋体" w:hAnsi="宋体" w:eastAsia="宋体" w:cs="宋体"/>
                <w:sz w:val="21"/>
                <w:szCs w:val="21"/>
                <w:lang w:eastAsia="zh-CN"/>
              </w:rPr>
            </w:pPr>
            <w:r>
              <w:rPr>
                <w:rFonts w:hint="eastAsia" w:ascii="宋体" w:hAnsi="宋体" w:eastAsia="宋体" w:cs="宋体"/>
                <w:sz w:val="21"/>
                <w:szCs w:val="21"/>
              </w:rPr>
              <w:t>注册地址：沧州市运河区迎宾北道（原西二环路）饲料加工厂门口西侧第二间</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生产地址：沧州市运河区迎宾北道（原西二环路）饲料加工厂门口西侧第二间</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认证范围：Q：润滑油的生产</w:t>
            </w:r>
          </w:p>
          <w:p>
            <w:pPr>
              <w:ind w:firstLine="1050" w:firstLineChars="500"/>
              <w:rPr>
                <w:rFonts w:hint="eastAsia" w:ascii="宋体" w:hAnsi="宋体" w:eastAsia="宋体" w:cs="宋体"/>
                <w:sz w:val="21"/>
                <w:szCs w:val="21"/>
                <w:lang w:eastAsia="zh-CN"/>
              </w:rPr>
            </w:pPr>
            <w:r>
              <w:rPr>
                <w:rFonts w:hint="eastAsia" w:ascii="宋体" w:hAnsi="宋体" w:eastAsia="宋体" w:cs="宋体"/>
                <w:sz w:val="21"/>
                <w:szCs w:val="21"/>
              </w:rPr>
              <w:t>E：润滑油的生产所涉及场所的相关环境管理活动</w:t>
            </w:r>
            <w:r>
              <w:rPr>
                <w:rFonts w:hint="eastAsia" w:ascii="宋体" w:hAnsi="宋体" w:eastAsia="宋体" w:cs="宋体"/>
                <w:sz w:val="21"/>
                <w:szCs w:val="21"/>
                <w:lang w:eastAsia="zh-CN"/>
              </w:rPr>
              <w:t>。</w:t>
            </w:r>
          </w:p>
          <w:p>
            <w:pPr>
              <w:pStyle w:val="9"/>
              <w:rPr>
                <w:rFonts w:hint="default"/>
                <w:lang w:val="en-US" w:eastAsia="zh-CN"/>
              </w:rPr>
            </w:pPr>
            <w:r>
              <w:rPr>
                <w:rFonts w:hint="eastAsia" w:ascii="宋体" w:hAnsi="宋体" w:eastAsia="宋体" w:cs="宋体"/>
                <w:sz w:val="21"/>
                <w:szCs w:val="21"/>
                <w:lang w:val="en-US" w:eastAsia="zh-CN"/>
              </w:rPr>
              <w:t>管理体系范围无变更。</w:t>
            </w:r>
          </w:p>
          <w:p>
            <w:pPr>
              <w:rPr>
                <w:rFonts w:hint="eastAsia" w:ascii="宋体" w:hAnsi="宋体" w:eastAsia="宋体" w:cs="宋体"/>
                <w:sz w:val="21"/>
                <w:szCs w:val="21"/>
                <w:lang w:val="en-US" w:eastAsia="zh-CN"/>
              </w:rPr>
            </w:pPr>
            <w:r>
              <w:rPr>
                <w:rFonts w:hint="eastAsia" w:ascii="宋体" w:hAnsi="宋体" w:eastAsia="宋体" w:cs="宋体"/>
                <w:sz w:val="21"/>
                <w:szCs w:val="21"/>
              </w:rPr>
              <w:t>●不适用条款：8.3该公司依据顾客提供相关技术协议要求并引用</w:t>
            </w:r>
            <w:r>
              <w:rPr>
                <w:rFonts w:hint="eastAsia" w:ascii="宋体" w:hAnsi="宋体" w:eastAsia="宋体" w:cs="宋体"/>
                <w:sz w:val="21"/>
                <w:szCs w:val="21"/>
                <w:lang w:val="en-US" w:eastAsia="zh-CN"/>
              </w:rPr>
              <w:t>企业</w:t>
            </w:r>
            <w:r>
              <w:rPr>
                <w:rFonts w:hint="eastAsia" w:ascii="宋体" w:hAnsi="宋体" w:eastAsia="宋体" w:cs="宋体"/>
                <w:sz w:val="21"/>
                <w:szCs w:val="21"/>
              </w:rPr>
              <w:t>相关标准进行生产，合同订单、顾客要求、包装要求、产品接收准则、生产加工过程、工艺文件、作业指导书、人员及监测要求等体系运行以来均未发生变化，故无设计开发的相关信息记录，故8.3条款不适用</w:t>
            </w:r>
            <w:r>
              <w:rPr>
                <w:rFonts w:hint="eastAsia" w:ascii="宋体" w:hAnsi="宋体" w:eastAsia="宋体" w:cs="宋体"/>
                <w:sz w:val="21"/>
                <w:szCs w:val="21"/>
                <w:lang w:val="en-US" w:eastAsia="zh-CN"/>
              </w:rPr>
              <w:t>.</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经识别，</w:t>
            </w:r>
            <w:r>
              <w:rPr>
                <w:rFonts w:hint="eastAsia" w:ascii="宋体" w:hAnsi="宋体" w:cs="宋体"/>
                <w:sz w:val="21"/>
                <w:szCs w:val="21"/>
                <w:lang w:val="en-US" w:eastAsia="zh-CN"/>
              </w:rPr>
              <w:t>无</w:t>
            </w:r>
            <w:r>
              <w:rPr>
                <w:rFonts w:hint="eastAsia" w:ascii="宋体" w:hAnsi="宋体" w:eastAsia="宋体" w:cs="宋体"/>
                <w:sz w:val="21"/>
                <w:szCs w:val="21"/>
              </w:rPr>
              <w:t>外包过程</w:t>
            </w:r>
            <w:r>
              <w:rPr>
                <w:rFonts w:hint="eastAsia" w:ascii="宋体" w:hAnsi="宋体" w:eastAsia="宋体" w:cs="宋体"/>
                <w:sz w:val="21"/>
                <w:szCs w:val="21"/>
              </w:rPr>
              <w:t>。</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w:t>
            </w:r>
          </w:p>
        </w:tc>
        <w:tc>
          <w:tcPr>
            <w:tcW w:w="989"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质量管理体系及其过程</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4.4</w:t>
            </w:r>
          </w:p>
        </w:tc>
        <w:tc>
          <w:tcPr>
            <w:tcW w:w="11263"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●公司依据GB/T19001-2016</w:t>
            </w:r>
            <w:r>
              <w:rPr>
                <w:rFonts w:hint="eastAsia" w:ascii="宋体" w:hAnsi="宋体" w:eastAsia="宋体" w:cs="宋体"/>
                <w:sz w:val="21"/>
                <w:szCs w:val="21"/>
                <w:lang w:eastAsia="zh-CN"/>
              </w:rPr>
              <w:t>、</w:t>
            </w:r>
            <w:r>
              <w:rPr>
                <w:rFonts w:hint="eastAsia" w:ascii="宋体" w:hAnsi="宋体" w:eastAsia="宋体" w:cs="宋体"/>
                <w:sz w:val="21"/>
                <w:szCs w:val="21"/>
              </w:rPr>
              <w:t xml:space="preserve"> GB/T24001-2016标准，于202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月1日建立了</w:t>
            </w:r>
            <w:r>
              <w:rPr>
                <w:rFonts w:hint="eastAsia" w:ascii="宋体" w:hAnsi="宋体" w:eastAsia="宋体" w:cs="宋体"/>
                <w:sz w:val="21"/>
                <w:szCs w:val="21"/>
                <w:lang w:val="en-US" w:eastAsia="zh-CN"/>
              </w:rPr>
              <w:t>质量管理体系、</w:t>
            </w:r>
            <w:r>
              <w:rPr>
                <w:rFonts w:hint="eastAsia" w:ascii="宋体" w:hAnsi="宋体" w:eastAsia="宋体" w:cs="宋体"/>
                <w:sz w:val="21"/>
                <w:szCs w:val="21"/>
              </w:rPr>
              <w:t>环境管理体系。</w:t>
            </w:r>
            <w:r>
              <w:rPr>
                <w:rFonts w:hint="eastAsia" w:ascii="宋体" w:hAnsi="宋体" w:eastAsia="宋体" w:cs="宋体"/>
                <w:sz w:val="21"/>
                <w:szCs w:val="21"/>
                <w:lang w:val="en-US" w:eastAsia="zh-CN"/>
              </w:rPr>
              <w:t xml:space="preserve">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遵循 PDCA 方法，识别了标准中所需要的四大过程，确定了过程的相互顺序和作用：管理职责确定－资源提供－产品实现－测量和改进。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2.公司明确规定产品执行标准（国家、行业标准）和客户要求，并通过各环节控制，监视、测量、考核使其达到有效运行。</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3.公司编制了管理手册、程序文件及作业管理性文件、记录表格等。通过管理手册、程序文件明确各部门职责、权限；资源管理，测量分析和改进、运行控制等过程。</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4.通过对各主要环节的风险评估，识别，评价并制定相应措施进行风险控制（包括实施过程中所需要的变更）。</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通过监视、测量和分析结果以及内审，管理评审等达到持续改进的目的。</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经识别，无</w:t>
            </w:r>
            <w:r>
              <w:rPr>
                <w:rFonts w:hint="eastAsia" w:ascii="宋体" w:hAnsi="宋体" w:eastAsia="宋体" w:cs="宋体"/>
                <w:sz w:val="21"/>
                <w:szCs w:val="21"/>
              </w:rPr>
              <w:t>外包</w:t>
            </w:r>
            <w:r>
              <w:rPr>
                <w:rFonts w:hint="eastAsia" w:ascii="宋体" w:hAnsi="宋体" w:eastAsia="宋体" w:cs="宋体"/>
                <w:sz w:val="21"/>
                <w:szCs w:val="21"/>
                <w:lang w:val="en-US" w:eastAsia="zh-CN"/>
              </w:rPr>
              <w:t>过程</w:t>
            </w:r>
            <w:r>
              <w:rPr>
                <w:rFonts w:hint="eastAsia" w:ascii="宋体" w:hAnsi="宋体" w:eastAsia="宋体" w:cs="宋体"/>
                <w:sz w:val="21"/>
                <w:szCs w:val="21"/>
              </w:rPr>
              <w:t>。</w:t>
            </w:r>
          </w:p>
        </w:tc>
        <w:tc>
          <w:tcPr>
            <w:tcW w:w="989"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管理承诺总则</w:t>
            </w:r>
          </w:p>
        </w:tc>
        <w:tc>
          <w:tcPr>
            <w:tcW w:w="1000" w:type="dxa"/>
            <w:vAlign w:val="center"/>
          </w:tcPr>
          <w:p>
            <w:pPr>
              <w:rPr>
                <w:rFonts w:hint="eastAsia" w:ascii="宋体" w:hAnsi="宋体" w:eastAsia="宋体" w:cs="宋体"/>
                <w:sz w:val="21"/>
                <w:szCs w:val="21"/>
              </w:rPr>
            </w:pPr>
            <w:r>
              <w:rPr>
                <w:rFonts w:hint="eastAsia" w:ascii="宋体" w:hAnsi="宋体" w:eastAsia="宋体" w:cs="宋体"/>
                <w:sz w:val="21"/>
                <w:szCs w:val="21"/>
              </w:rPr>
              <w:t>Q5.1.1</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E5.1</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现场沟通，领导层</w:t>
            </w:r>
            <w:r>
              <w:rPr>
                <w:rFonts w:hint="eastAsia" w:ascii="宋体" w:hAnsi="宋体" w:eastAsia="宋体" w:cs="宋体"/>
                <w:sz w:val="21"/>
                <w:szCs w:val="21"/>
              </w:rPr>
              <w:t>都具有较强的管理意识，明确管理承诺。</w:t>
            </w:r>
          </w:p>
          <w:p>
            <w:pPr>
              <w:rPr>
                <w:rFonts w:hint="eastAsia" w:ascii="宋体" w:hAnsi="宋体" w:eastAsia="宋体" w:cs="宋体"/>
                <w:sz w:val="21"/>
                <w:szCs w:val="21"/>
              </w:rPr>
            </w:pPr>
            <w:r>
              <w:rPr>
                <w:rFonts w:hint="eastAsia" w:ascii="宋体" w:hAnsi="宋体" w:eastAsia="宋体" w:cs="宋体"/>
                <w:sz w:val="21"/>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工作的投入，提供充分的资源，确保公司管理体系有效运行。</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目前各项工作基本得到实施，并取得了一定的效果。</w:t>
            </w:r>
          </w:p>
        </w:tc>
        <w:tc>
          <w:tcPr>
            <w:tcW w:w="989"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5.1.2</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●公司通过投标、电话沟通等方式了解顾客的需求，确定他们关心的产品特性，特别是产品的关键特性。通过定期对顾客满意度进行测量、售后服务了解顾客对产品的意见。</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●在确定顾客的需求和期望时，公司同时考虑与产品有关的义务和法律法规要求，并采取措施，使其得到落实。</w:t>
            </w:r>
          </w:p>
        </w:tc>
        <w:tc>
          <w:tcPr>
            <w:tcW w:w="989"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5.2</w:t>
            </w:r>
          </w:p>
        </w:tc>
        <w:tc>
          <w:tcPr>
            <w:tcW w:w="1126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查看管理手册中明确了管理体系方针，方针无变化：</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客户至上，精益求精；顾客满意，持续改进；</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预防污染，达标排放，节能降耗，建设绿色环保型企业；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管理方针与企业的经营宗旨相适应，协调；通过会议传达，沟通，让全体员工理解执行。</w:t>
            </w:r>
          </w:p>
          <w:p>
            <w:pPr>
              <w:rPr>
                <w:rFonts w:hint="eastAsia" w:ascii="宋体" w:hAnsi="宋体" w:eastAsia="宋体" w:cs="宋体"/>
                <w:kern w:val="2"/>
                <w:sz w:val="21"/>
                <w:szCs w:val="21"/>
                <w:lang w:val="en-US" w:eastAsia="zh-CN" w:bidi="ar-SA"/>
              </w:rPr>
            </w:pPr>
            <w:r>
              <w:rPr>
                <w:rFonts w:hint="eastAsia" w:ascii="Times New Roman" w:hAnsi="Times New Roman" w:eastAsia="宋体" w:cs="Times New Roman"/>
                <w:sz w:val="21"/>
                <w:szCs w:val="21"/>
                <w:lang w:eastAsia="zh-CN"/>
              </w:rPr>
              <w:t>经202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年1</w:t>
            </w:r>
            <w:r>
              <w:rPr>
                <w:rFonts w:hint="eastAsia" w:ascii="Times New Roman" w:hAnsi="Times New Roman" w:cs="Times New Roman"/>
                <w:sz w:val="21"/>
                <w:szCs w:val="21"/>
                <w:lang w:val="en-US" w:eastAsia="zh-CN"/>
              </w:rPr>
              <w:t>2</w:t>
            </w:r>
            <w:r>
              <w:rPr>
                <w:rFonts w:hint="eastAsia" w:ascii="Times New Roman" w:hAnsi="Times New Roman" w:eastAsia="宋体" w:cs="Times New Roman"/>
                <w:sz w:val="21"/>
                <w:szCs w:val="21"/>
                <w:lang w:eastAsia="zh-CN"/>
              </w:rPr>
              <w:t>月</w:t>
            </w:r>
            <w:r>
              <w:rPr>
                <w:rFonts w:hint="eastAsia" w:ascii="Times New Roman" w:hAnsi="Times New Roman" w:cs="Times New Roman"/>
                <w:sz w:val="21"/>
                <w:szCs w:val="21"/>
                <w:lang w:val="en-US" w:eastAsia="zh-CN"/>
              </w:rPr>
              <w:t>12</w:t>
            </w:r>
            <w:r>
              <w:rPr>
                <w:rFonts w:hint="eastAsia" w:ascii="Times New Roman" w:hAnsi="Times New Roman" w:eastAsia="宋体" w:cs="Times New Roman"/>
                <w:sz w:val="21"/>
                <w:szCs w:val="21"/>
                <w:lang w:eastAsia="zh-CN"/>
              </w:rPr>
              <w:t>日召开的管理评审会议，管理方针适应其宗旨和环境并支持其长远战略方向；为制定管理目标提供框架；包括满足适用要求的承诺和持续改进质量管理体系的承诺。方针基本能够满足标准的要求。</w:t>
            </w:r>
          </w:p>
        </w:tc>
        <w:tc>
          <w:tcPr>
            <w:tcW w:w="989" w:type="dxa"/>
            <w:vAlign w:val="top"/>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5.3</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●企业在策划和建立管理体系时，成立了组织机构：设置了</w:t>
            </w:r>
            <w:r>
              <w:rPr>
                <w:rFonts w:hint="eastAsia" w:ascii="宋体" w:hAnsi="宋体" w:eastAsia="宋体" w:cs="宋体"/>
                <w:sz w:val="21"/>
                <w:szCs w:val="21"/>
                <w:lang w:val="en-US" w:eastAsia="zh-CN"/>
              </w:rPr>
              <w:t>层理层、办公室</w:t>
            </w:r>
            <w:r>
              <w:rPr>
                <w:rFonts w:hint="eastAsia" w:ascii="宋体" w:hAnsi="宋体" w:eastAsia="宋体" w:cs="宋体"/>
                <w:sz w:val="21"/>
                <w:szCs w:val="21"/>
              </w:rPr>
              <w:t>、</w:t>
            </w:r>
            <w:r>
              <w:rPr>
                <w:rFonts w:hint="eastAsia" w:ascii="宋体" w:hAnsi="宋体" w:cs="宋体"/>
                <w:sz w:val="21"/>
                <w:szCs w:val="21"/>
                <w:lang w:eastAsia="zh-CN"/>
              </w:rPr>
              <w:t>生技部</w:t>
            </w:r>
            <w:r>
              <w:rPr>
                <w:rFonts w:hint="eastAsia" w:ascii="宋体" w:hAnsi="宋体" w:eastAsia="宋体" w:cs="宋体"/>
                <w:sz w:val="21"/>
                <w:szCs w:val="21"/>
              </w:rPr>
              <w:t>等部门，并对各部门的作用、职责、权限进行了划分，提供的管理手册中确定了组织机构图、职能分配表， 各部门作用、职责、权限界定基本清楚，并与实际情况基本相符。</w:t>
            </w:r>
          </w:p>
          <w:p>
            <w:pPr>
              <w:rPr>
                <w:rFonts w:hint="eastAsia" w:ascii="宋体" w:hAnsi="宋体" w:eastAsia="宋体" w:cs="宋体"/>
                <w:sz w:val="21"/>
                <w:szCs w:val="21"/>
              </w:rPr>
            </w:pPr>
            <w:r>
              <w:rPr>
                <w:rFonts w:hint="eastAsia" w:ascii="宋体" w:hAnsi="宋体" w:eastAsia="宋体" w:cs="宋体"/>
                <w:sz w:val="21"/>
                <w:szCs w:val="21"/>
              </w:rPr>
              <w:t>最高管理者负责岗位的设定、职责和权限的指派工作。</w:t>
            </w:r>
          </w:p>
          <w:p>
            <w:pPr>
              <w:rPr>
                <w:rFonts w:hint="eastAsia" w:ascii="宋体" w:hAnsi="宋体" w:eastAsia="宋体" w:cs="宋体"/>
                <w:sz w:val="21"/>
                <w:szCs w:val="21"/>
              </w:rPr>
            </w:pPr>
            <w:r>
              <w:rPr>
                <w:rFonts w:hint="eastAsia" w:ascii="宋体" w:hAnsi="宋体" w:eastAsia="宋体" w:cs="宋体"/>
                <w:sz w:val="21"/>
                <w:szCs w:val="21"/>
              </w:rPr>
              <w:t>通过文件、会议、培训等方式将职责、权限传达到组织相关部门及层次。</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●审核发现组织的角色、职责和权限基本得到有效沟通和贯彻实施。</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7" w:type="dxa"/>
            <w:vAlign w:val="center"/>
          </w:tcPr>
          <w:p>
            <w:pPr>
              <w:rPr>
                <w:rFonts w:hint="eastAsia" w:ascii="宋体" w:hAnsi="宋体" w:eastAsia="宋体" w:cs="宋体"/>
                <w:sz w:val="21"/>
                <w:szCs w:val="21"/>
              </w:rPr>
            </w:pPr>
            <w:r>
              <w:rPr>
                <w:rFonts w:hint="eastAsia" w:ascii="宋体" w:hAnsi="宋体" w:eastAsia="宋体" w:cs="宋体"/>
                <w:sz w:val="21"/>
                <w:szCs w:val="21"/>
              </w:rPr>
              <w:t>策划</w:t>
            </w:r>
          </w:p>
          <w:p>
            <w:pPr>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应对风险和机遇的措施</w:t>
            </w:r>
          </w:p>
        </w:tc>
        <w:tc>
          <w:tcPr>
            <w:tcW w:w="1000"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QE</w:t>
            </w:r>
          </w:p>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eastAsia="zh-CN"/>
              </w:rPr>
              <w:t>6.1.1</w:t>
            </w:r>
          </w:p>
        </w:tc>
        <w:tc>
          <w:tcPr>
            <w:tcW w:w="11263" w:type="dxa"/>
            <w:vAlign w:val="center"/>
          </w:tcPr>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编制了《风险和机遇的应对控制程序YDBR-PD25》。办公室协助管理者代表组织各部门，通过公司所处环境、相关方的需求及期望、环境因素、危险源、潜在紧急情况、法律法规要求和其他要求、组织变更等确定所需应对的风险和机遇。</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企业编制有《风险管理计划》，对企业的风险管理活动，职责权限进行了分配。</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提供有《风险和机遇评估分析表》，针对公司现状，企业对各部门的风险及公共风险进行了识别并制定了应对措施。</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企业目前识别风险点主要有：法律、法规内容的变化、行业标准的变化、客户的需求、供应商的要求、第三方的要求、公司市场占有率、市场领先趋势、顾客增长趋势、市场稳定性、市场容量、竞争力、价格风险、管理流程、销售能力、售后服务、人员的流动等方面；</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--抽客户开发，合同评审过程风险：</w:t>
            </w:r>
          </w:p>
          <w:p>
            <w:pPr>
              <w:rPr>
                <w:rFonts w:hint="default" w:ascii="Times New Roman" w:hAnsi="Times New Roman" w:eastAsia="宋体" w:cs="Times New Roman"/>
                <w:bCs/>
                <w:lang w:val="en-US" w:eastAsia="zh-CN"/>
              </w:rPr>
            </w:pPr>
            <w:r>
              <w:rPr>
                <w:rFonts w:hint="eastAsia" w:ascii="Times New Roman" w:hAnsi="Times New Roman" w:eastAsia="宋体" w:cs="Times New Roman"/>
                <w:bCs/>
                <w:lang w:val="en-US" w:eastAsia="zh-CN"/>
              </w:rPr>
              <w:t>风险：1.对市场需要产品的发展趋势判断失误。2.客户要求识别不完整3.未能确保能够满足客户要求就签署合同</w:t>
            </w:r>
          </w:p>
          <w:p>
            <w:pPr>
              <w:rPr>
                <w:rFonts w:hint="default" w:ascii="Times New Roman" w:hAnsi="Times New Roman" w:eastAsia="宋体" w:cs="Times New Roman"/>
                <w:bCs/>
                <w:lang w:val="en-US" w:eastAsia="zh-CN"/>
              </w:rPr>
            </w:pPr>
            <w:r>
              <w:rPr>
                <w:rFonts w:hint="eastAsia" w:ascii="Times New Roman" w:hAnsi="Times New Roman" w:eastAsia="宋体" w:cs="Times New Roman"/>
                <w:bCs/>
                <w:lang w:val="en-US" w:eastAsia="zh-CN"/>
              </w:rPr>
              <w:t>应对措施：1.对市场需求产品的发展趋势分析应该经过反复论证。2.对客户的要求实施监视和测量。3.在确定与客户签署合同前落实合同评审事宜。</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--抽基础设施管理方面：</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风险：如果公司现有的运行环境以及设施、设备管理不善，造成的销售停滞，环境污染，会给公司造成很大的生产风险。</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机遇：基础设备维护良好，为公司发展创造良好的环境。</w:t>
            </w:r>
          </w:p>
          <w:p>
            <w:pPr>
              <w:rPr>
                <w:rFonts w:hint="default" w:ascii="Times New Roman" w:hAnsi="Times New Roman" w:eastAsia="宋体" w:cs="Times New Roman"/>
                <w:bCs/>
                <w:lang w:val="en-US" w:eastAsia="zh-CN"/>
              </w:rPr>
            </w:pPr>
            <w:r>
              <w:rPr>
                <w:rFonts w:hint="eastAsia" w:ascii="Times New Roman" w:hAnsi="Times New Roman" w:eastAsia="宋体" w:cs="Times New Roman"/>
                <w:bCs/>
                <w:lang w:val="en-US" w:eastAsia="zh-CN"/>
              </w:rPr>
              <w:t>应对措施：各部门严格按照公司的规定做好设备的维护工作，提高公司设备、设施稳定性。</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另查其他风险和机遇的识别基本全面，对措施有效性进行了评价，控制措施有效。</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已输入管理评审。</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7" w:type="dxa"/>
            <w:vAlign w:val="center"/>
          </w:tcPr>
          <w:p>
            <w:pPr>
              <w:rPr>
                <w:rFonts w:hint="eastAsia"/>
                <w:lang w:val="en-US" w:eastAsia="zh-CN"/>
              </w:rPr>
            </w:pPr>
            <w:r>
              <w:rPr>
                <w:rFonts w:hint="eastAsia"/>
                <w:lang w:val="en-US" w:eastAsia="zh-CN"/>
              </w:rPr>
              <w:t>环境因素/</w:t>
            </w:r>
          </w:p>
          <w:p>
            <w:pPr>
              <w:pStyle w:val="9"/>
              <w:rPr>
                <w:rFonts w:hint="default"/>
                <w:lang w:val="en-US" w:eastAsia="zh-CN"/>
              </w:rPr>
            </w:pPr>
            <w:r>
              <w:rPr>
                <w:rFonts w:hint="eastAsia"/>
                <w:lang w:val="en-US" w:eastAsia="zh-CN"/>
              </w:rPr>
              <w:t>控制措施</w:t>
            </w:r>
          </w:p>
        </w:tc>
        <w:tc>
          <w:tcPr>
            <w:tcW w:w="100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E6.1.2</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E6.1.4</w:t>
            </w:r>
          </w:p>
        </w:tc>
        <w:tc>
          <w:tcPr>
            <w:tcW w:w="11263" w:type="dxa"/>
            <w:vAlign w:val="center"/>
          </w:tcPr>
          <w:p>
            <w:pPr>
              <w:rPr>
                <w:rFonts w:hint="eastAsia"/>
                <w:lang w:val="en-US" w:eastAsia="zh-CN"/>
              </w:rPr>
            </w:pPr>
            <w:r>
              <w:rPr>
                <w:rFonts w:hint="eastAsia"/>
                <w:lang w:val="en-US" w:eastAsia="zh-CN"/>
              </w:rPr>
              <w:t>仍执行公司《环境因素识别与评价控制程序</w:t>
            </w:r>
            <w:r>
              <w:rPr>
                <w:rFonts w:hint="eastAsia"/>
                <w:lang w:val="en-US" w:eastAsia="zh-CN"/>
              </w:rPr>
              <w:tab/>
            </w:r>
            <w:r>
              <w:rPr>
                <w:rFonts w:hint="eastAsia"/>
                <w:lang w:val="en-US" w:eastAsia="zh-CN"/>
              </w:rPr>
              <w:t>YDBR-PD03》《危险源识别及风险评价控制程序</w:t>
            </w:r>
            <w:r>
              <w:rPr>
                <w:rFonts w:hint="eastAsia"/>
                <w:lang w:val="en-US" w:eastAsia="zh-CN"/>
              </w:rPr>
              <w:tab/>
            </w:r>
            <w:r>
              <w:rPr>
                <w:rFonts w:hint="eastAsia"/>
                <w:lang w:val="en-US" w:eastAsia="zh-CN"/>
              </w:rPr>
              <w:t>YDBR-PD04》，办公室负责各部门环境因素的汇总，进行综合评价，建立、更新和公布公司“环境因素清单及识别评价表”和“重要环境因素清单”。</w:t>
            </w:r>
          </w:p>
          <w:p>
            <w:pPr>
              <w:rPr>
                <w:rFonts w:hint="eastAsia"/>
                <w:lang w:val="en-US" w:eastAsia="zh-CN"/>
              </w:rPr>
            </w:pPr>
            <w:r>
              <w:rPr>
                <w:rFonts w:hint="eastAsia"/>
                <w:lang w:val="en-US" w:eastAsia="zh-CN"/>
              </w:rPr>
              <w:t>提供《环境因素识别、评价表》，按照活动、过程进行了识别，分别对日常办公过程、生产检验过程的环境因素进行了识别，识别出环境因素包括固废排放、火灾、原材料损耗、废气排放、噪声排放等。</w:t>
            </w:r>
          </w:p>
          <w:p>
            <w:pPr>
              <w:rPr>
                <w:rFonts w:hint="eastAsia" w:ascii="Times New Roman" w:hAnsi="Times New Roman" w:eastAsia="宋体" w:cs="Times New Roman"/>
                <w:lang w:val="en-US" w:eastAsia="zh-CN"/>
              </w:rPr>
            </w:pPr>
            <w:r>
              <w:rPr>
                <w:rFonts w:hint="eastAsia"/>
                <w:lang w:val="en-US" w:eastAsia="zh-CN"/>
              </w:rPr>
              <w:t>提供《重要环境因素清单》，其中重要环境因素：火灾</w:t>
            </w:r>
            <w:r>
              <w:rPr>
                <w:rFonts w:hint="eastAsia" w:ascii="Times New Roman" w:hAnsi="Times New Roman" w:eastAsia="宋体" w:cs="Times New Roman"/>
                <w:lang w:val="en-US" w:eastAsia="zh-CN"/>
              </w:rPr>
              <w:t>、固体废弃物排放、噪声、废气排放、化学品泄漏，评价准确。</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TW"/>
              </w:rPr>
              <w:t>对于</w:t>
            </w:r>
            <w:r>
              <w:rPr>
                <w:rFonts w:hint="eastAsia" w:ascii="Times New Roman" w:hAnsi="Times New Roman" w:eastAsia="宋体" w:cs="Times New Roman"/>
                <w:lang w:val="en-US" w:eastAsia="zh-CN"/>
              </w:rPr>
              <w:t>环境因素、重要环境因素等通过运行控制、管理方案、应急准备与响应进行控制。</w:t>
            </w:r>
          </w:p>
          <w:p>
            <w:pPr>
              <w:rPr>
                <w:rFonts w:hint="eastAsia"/>
                <w:lang w:val="en-US" w:eastAsia="zh-CN"/>
              </w:rPr>
            </w:pPr>
            <w:r>
              <w:rPr>
                <w:rFonts w:hint="eastAsia" w:ascii="Times New Roman" w:hAnsi="Times New Roman" w:eastAsia="宋体" w:cs="Times New Roman"/>
                <w:lang w:val="en-US" w:eastAsia="zh-CN"/>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989" w:type="dxa"/>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6.2</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●公司总的</w:t>
            </w:r>
            <w:r>
              <w:rPr>
                <w:rFonts w:hint="eastAsia" w:ascii="宋体" w:hAnsi="宋体" w:eastAsia="宋体" w:cs="宋体"/>
                <w:sz w:val="21"/>
                <w:szCs w:val="21"/>
                <w:lang w:val="en-US" w:eastAsia="zh-CN"/>
              </w:rPr>
              <w:t>管理</w:t>
            </w:r>
            <w:r>
              <w:rPr>
                <w:rFonts w:hint="eastAsia" w:ascii="宋体" w:hAnsi="宋体" w:eastAsia="宋体" w:cs="宋体"/>
                <w:sz w:val="21"/>
                <w:szCs w:val="21"/>
              </w:rPr>
              <w:t>目标为：</w:t>
            </w:r>
          </w:p>
          <w:tbl>
            <w:tblPr>
              <w:tblStyle w:val="16"/>
              <w:tblpPr w:leftFromText="180" w:rightFromText="180" w:vertAnchor="text" w:horzAnchor="page" w:tblpX="211" w:tblpY="39"/>
              <w:tblOverlap w:val="never"/>
              <w:tblW w:w="232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3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25" w:type="pct"/>
                  <w:vMerge w:val="restart"/>
                  <w:noWrap w:val="0"/>
                  <w:vAlign w:val="center"/>
                </w:tcPr>
                <w:p>
                  <w:pPr>
                    <w:autoSpaceDE w:val="0"/>
                    <w:autoSpaceDN w:val="0"/>
                    <w:adjustRightInd w:val="0"/>
                    <w:spacing w:line="320" w:lineRule="exact"/>
                    <w:rPr>
                      <w:rFonts w:hint="eastAsia" w:ascii="宋体" w:hAnsi="宋体" w:cs="宋体"/>
                      <w:kern w:val="0"/>
                      <w:szCs w:val="21"/>
                    </w:rPr>
                  </w:pPr>
                  <w:r>
                    <w:rPr>
                      <w:rFonts w:hint="eastAsia" w:ascii="宋体" w:hAnsi="宋体" w:cs="宋体"/>
                      <w:kern w:val="0"/>
                      <w:szCs w:val="21"/>
                    </w:rPr>
                    <w:t>质量目标</w:t>
                  </w:r>
                </w:p>
              </w:tc>
              <w:tc>
                <w:tcPr>
                  <w:tcW w:w="3174" w:type="pct"/>
                  <w:noWrap w:val="0"/>
                  <w:vAlign w:val="center"/>
                </w:tcPr>
                <w:p>
                  <w:pPr>
                    <w:spacing w:line="300" w:lineRule="exact"/>
                    <w:jc w:val="left"/>
                    <w:rPr>
                      <w:rFonts w:hint="eastAsia" w:ascii="宋体" w:hAnsi="宋体" w:cs="Times New Roman"/>
                      <w:kern w:val="2"/>
                      <w:sz w:val="21"/>
                      <w:szCs w:val="21"/>
                      <w:lang w:val="en-GB" w:eastAsia="zh-CN" w:bidi="ar-SA"/>
                    </w:rPr>
                  </w:pPr>
                  <w:r>
                    <w:rPr>
                      <w:rFonts w:hint="eastAsia" w:ascii="宋体" w:hAnsi="宋体" w:cs="Times New Roman"/>
                      <w:sz w:val="21"/>
                      <w:szCs w:val="21"/>
                      <w:lang w:eastAsia="zh-CN"/>
                    </w:rPr>
                    <w:t>一次交付合格率100%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25" w:type="pct"/>
                  <w:vMerge w:val="continue"/>
                  <w:noWrap w:val="0"/>
                  <w:vAlign w:val="center"/>
                </w:tcPr>
                <w:p>
                  <w:pPr>
                    <w:autoSpaceDE w:val="0"/>
                    <w:autoSpaceDN w:val="0"/>
                    <w:adjustRightInd w:val="0"/>
                    <w:spacing w:line="320" w:lineRule="exact"/>
                    <w:rPr>
                      <w:rFonts w:hint="eastAsia" w:ascii="宋体" w:hAnsi="宋体" w:cs="宋体"/>
                      <w:kern w:val="0"/>
                      <w:szCs w:val="21"/>
                    </w:rPr>
                  </w:pPr>
                </w:p>
              </w:tc>
              <w:tc>
                <w:tcPr>
                  <w:tcW w:w="3174" w:type="pct"/>
                  <w:noWrap w:val="0"/>
                  <w:vAlign w:val="center"/>
                </w:tcPr>
                <w:p>
                  <w:pPr>
                    <w:spacing w:line="300" w:lineRule="exact"/>
                    <w:jc w:val="left"/>
                    <w:rPr>
                      <w:rFonts w:hint="eastAsia" w:ascii="宋体" w:hAnsi="宋体"/>
                      <w:b/>
                      <w:bCs/>
                      <w:color w:val="auto"/>
                      <w:kern w:val="2"/>
                      <w:sz w:val="21"/>
                      <w:szCs w:val="21"/>
                      <w:lang w:val="en-GB" w:eastAsia="zh-CN" w:bidi="ar-SA"/>
                    </w:rPr>
                  </w:pPr>
                  <w:r>
                    <w:rPr>
                      <w:rFonts w:hint="eastAsia" w:ascii="宋体" w:hAnsi="宋体" w:cs="Times New Roman"/>
                      <w:sz w:val="21"/>
                      <w:szCs w:val="21"/>
                      <w:lang w:val="en-US" w:eastAsia="zh-CN"/>
                    </w:rPr>
                    <w:t>客户满意率≥95%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pct"/>
                  <w:vMerge w:val="restart"/>
                  <w:noWrap w:val="0"/>
                  <w:vAlign w:val="center"/>
                </w:tcPr>
                <w:p>
                  <w:pPr>
                    <w:tabs>
                      <w:tab w:val="left" w:pos="1800"/>
                    </w:tabs>
                    <w:spacing w:line="320" w:lineRule="exact"/>
                    <w:rPr>
                      <w:rFonts w:hint="eastAsia"/>
                      <w:bCs/>
                      <w:szCs w:val="21"/>
                    </w:rPr>
                  </w:pPr>
                  <w:r>
                    <w:rPr>
                      <w:rFonts w:hint="eastAsia"/>
                      <w:bCs/>
                      <w:szCs w:val="21"/>
                    </w:rPr>
                    <w:t>环境目标、指标</w:t>
                  </w:r>
                </w:p>
              </w:tc>
              <w:tc>
                <w:tcPr>
                  <w:tcW w:w="3174" w:type="pct"/>
                  <w:noWrap w:val="0"/>
                  <w:vAlign w:val="center"/>
                </w:tcPr>
                <w:p>
                  <w:pPr>
                    <w:spacing w:line="300" w:lineRule="exact"/>
                    <w:jc w:val="left"/>
                    <w:rPr>
                      <w:rFonts w:hint="eastAsia" w:ascii="宋体" w:hAnsi="宋体"/>
                      <w:b/>
                      <w:bCs/>
                      <w:color w:val="auto"/>
                      <w:kern w:val="2"/>
                      <w:sz w:val="21"/>
                      <w:szCs w:val="21"/>
                      <w:lang w:val="en-US" w:eastAsia="zh-CN" w:bidi="ar-SA"/>
                    </w:rPr>
                  </w:pPr>
                  <w:r>
                    <w:rPr>
                      <w:rFonts w:hint="eastAsia" w:ascii="宋体" w:hAnsi="宋体" w:cs="Times New Roman"/>
                      <w:sz w:val="21"/>
                      <w:szCs w:val="21"/>
                      <w:lang w:val="en-US" w:eastAsia="zh-CN"/>
                    </w:rPr>
                    <w:t>固废处理达标排放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pct"/>
                  <w:vMerge w:val="continue"/>
                  <w:noWrap w:val="0"/>
                  <w:vAlign w:val="center"/>
                </w:tcPr>
                <w:p>
                  <w:pPr>
                    <w:tabs>
                      <w:tab w:val="left" w:pos="1800"/>
                    </w:tabs>
                    <w:spacing w:line="320" w:lineRule="exact"/>
                    <w:rPr>
                      <w:rFonts w:hint="eastAsia"/>
                      <w:bCs/>
                      <w:szCs w:val="21"/>
                    </w:rPr>
                  </w:pPr>
                </w:p>
              </w:tc>
              <w:tc>
                <w:tcPr>
                  <w:tcW w:w="3174" w:type="pct"/>
                  <w:noWrap w:val="0"/>
                  <w:vAlign w:val="center"/>
                </w:tcPr>
                <w:p>
                  <w:pPr>
                    <w:spacing w:line="300" w:lineRule="exact"/>
                    <w:jc w:val="left"/>
                    <w:rPr>
                      <w:rFonts w:hint="default" w:ascii="宋体" w:hAnsi="宋体" w:cs="Times New Roman"/>
                      <w:sz w:val="21"/>
                      <w:szCs w:val="21"/>
                      <w:lang w:val="en-US" w:eastAsia="zh-CN"/>
                    </w:rPr>
                  </w:pPr>
                  <w:r>
                    <w:rPr>
                      <w:rFonts w:hint="eastAsia" w:ascii="宋体" w:hAnsi="宋体" w:cs="Times New Roman"/>
                      <w:sz w:val="21"/>
                      <w:szCs w:val="21"/>
                      <w:lang w:val="en-US" w:eastAsia="zh-CN"/>
                    </w:rPr>
                    <w:t>噪声、废气合规排放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pct"/>
                  <w:vMerge w:val="continue"/>
                  <w:noWrap w:val="0"/>
                  <w:vAlign w:val="center"/>
                </w:tcPr>
                <w:p>
                  <w:pPr>
                    <w:tabs>
                      <w:tab w:val="left" w:pos="1800"/>
                    </w:tabs>
                    <w:spacing w:line="320" w:lineRule="exact"/>
                    <w:rPr>
                      <w:rFonts w:hint="eastAsia"/>
                      <w:b/>
                      <w:bCs/>
                      <w:szCs w:val="21"/>
                    </w:rPr>
                  </w:pPr>
                </w:p>
              </w:tc>
              <w:tc>
                <w:tcPr>
                  <w:tcW w:w="3174" w:type="pct"/>
                  <w:noWrap w:val="0"/>
                  <w:vAlign w:val="center"/>
                </w:tcPr>
                <w:p>
                  <w:pPr>
                    <w:spacing w:line="300" w:lineRule="exact"/>
                    <w:jc w:val="left"/>
                    <w:rPr>
                      <w:rFonts w:hint="eastAsia" w:ascii="宋体" w:hAnsi="宋体" w:cs="Times New Roman"/>
                      <w:kern w:val="2"/>
                      <w:sz w:val="21"/>
                      <w:szCs w:val="21"/>
                      <w:lang w:val="en-US" w:eastAsia="zh-CN" w:bidi="ar-SA"/>
                    </w:rPr>
                  </w:pPr>
                  <w:r>
                    <w:rPr>
                      <w:rFonts w:hint="eastAsia" w:ascii="宋体" w:hAnsi="宋体" w:cs="Times New Roman"/>
                      <w:sz w:val="21"/>
                      <w:szCs w:val="21"/>
                      <w:lang w:val="en-US" w:eastAsia="zh-CN"/>
                    </w:rPr>
                    <w:t>杜绝火灾事故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pct"/>
                  <w:vMerge w:val="continue"/>
                  <w:noWrap w:val="0"/>
                  <w:vAlign w:val="center"/>
                </w:tcPr>
                <w:p>
                  <w:pPr>
                    <w:rPr>
                      <w:rFonts w:hint="eastAsia" w:ascii="宋体" w:hAnsi="宋体" w:eastAsia="宋体" w:cs="宋体"/>
                      <w:sz w:val="21"/>
                      <w:szCs w:val="21"/>
                    </w:rPr>
                  </w:pPr>
                </w:p>
              </w:tc>
              <w:tc>
                <w:tcPr>
                  <w:tcW w:w="3174"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化学品泄漏事故发生率为0</w:t>
                  </w:r>
                </w:p>
              </w:tc>
            </w:tr>
          </w:tbl>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rPr>
              <w:t>●公司的目标已分解到相关职能部门，规定了计算方法及统计周期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提供有</w:t>
            </w:r>
            <w:r>
              <w:rPr>
                <w:rFonts w:hint="eastAsia" w:ascii="宋体" w:hAnsi="宋体" w:eastAsia="宋体" w:cs="宋体"/>
                <w:sz w:val="21"/>
                <w:szCs w:val="21"/>
              </w:rPr>
              <w:t>查202</w:t>
            </w:r>
            <w:r>
              <w:rPr>
                <w:rFonts w:hint="eastAsia" w:ascii="宋体" w:hAnsi="宋体" w:eastAsia="宋体" w:cs="宋体"/>
                <w:sz w:val="21"/>
                <w:szCs w:val="21"/>
                <w:lang w:val="en-US" w:eastAsia="zh-CN"/>
              </w:rPr>
              <w:t>2</w:t>
            </w:r>
            <w:r>
              <w:rPr>
                <w:rFonts w:hint="eastAsia" w:ascii="宋体" w:hAnsi="宋体" w:eastAsia="宋体" w:cs="宋体"/>
                <w:sz w:val="21"/>
                <w:szCs w:val="21"/>
              </w:rPr>
              <w:t>年第</w:t>
            </w:r>
            <w:r>
              <w:rPr>
                <w:rFonts w:hint="eastAsia" w:ascii="宋体" w:hAnsi="宋体" w:eastAsia="宋体" w:cs="宋体"/>
                <w:sz w:val="21"/>
                <w:szCs w:val="21"/>
                <w:lang w:val="en-US" w:eastAsia="zh-CN"/>
              </w:rPr>
              <w:t>1-4</w:t>
            </w:r>
            <w:r>
              <w:rPr>
                <w:rFonts w:hint="eastAsia" w:ascii="宋体" w:hAnsi="宋体" w:eastAsia="宋体" w:cs="宋体"/>
                <w:sz w:val="21"/>
                <w:szCs w:val="21"/>
              </w:rPr>
              <w:t>季度目标完成情况：均达标完成；</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针对重要环境因素，编制了《</w:t>
            </w:r>
            <w:r>
              <w:rPr>
                <w:rFonts w:hint="eastAsia" w:ascii="宋体" w:hAnsi="宋体" w:eastAsia="宋体" w:cs="宋体"/>
                <w:sz w:val="21"/>
                <w:szCs w:val="21"/>
              </w:rPr>
              <w:t>环境目标指标管理方案</w:t>
            </w:r>
            <w:r>
              <w:rPr>
                <w:rFonts w:hint="eastAsia" w:ascii="宋体" w:hAnsi="宋体" w:eastAsia="宋体" w:cs="宋体"/>
                <w:sz w:val="21"/>
                <w:szCs w:val="21"/>
                <w:lang w:val="en-US" w:eastAsia="zh-CN"/>
              </w:rPr>
              <w:t>》，制定了管理措施和资金投入及检查，经查，已落实各项措施，具体目标及管理方案考核见各部门审核记录。</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Q6.3</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自</w:t>
            </w:r>
            <w:r>
              <w:rPr>
                <w:rFonts w:hint="eastAsia" w:ascii="宋体" w:hAnsi="宋体" w:eastAsia="宋体" w:cs="宋体"/>
                <w:sz w:val="21"/>
                <w:szCs w:val="21"/>
                <w:lang w:val="en-US" w:eastAsia="zh-CN"/>
              </w:rPr>
              <w:t>上次审核</w:t>
            </w:r>
            <w:r>
              <w:rPr>
                <w:rFonts w:hint="eastAsia" w:ascii="宋体" w:hAnsi="宋体" w:eastAsia="宋体" w:cs="宋体"/>
                <w:sz w:val="21"/>
                <w:szCs w:val="21"/>
              </w:rPr>
              <w:t>以来，体系未发生变更，保持完整。</w:t>
            </w:r>
          </w:p>
          <w:p>
            <w:pPr>
              <w:rPr>
                <w:rFonts w:hint="eastAsia" w:ascii="宋体" w:hAnsi="宋体" w:eastAsia="宋体" w:cs="宋体"/>
                <w:sz w:val="21"/>
                <w:szCs w:val="21"/>
              </w:rPr>
            </w:pPr>
            <w:r>
              <w:rPr>
                <w:rFonts w:hint="eastAsia" w:ascii="宋体" w:hAnsi="宋体" w:eastAsia="宋体" w:cs="宋体"/>
                <w:sz w:val="21"/>
                <w:szCs w:val="21"/>
                <w:lang w:val="en-US" w:eastAsia="zh-CN"/>
              </w:rPr>
              <w:t>查看管理手册中对变更策划进行了规定，</w:t>
            </w:r>
            <w:r>
              <w:rPr>
                <w:rFonts w:hint="eastAsia" w:ascii="宋体" w:hAnsi="宋体" w:eastAsia="宋体" w:cs="宋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rPr>
                <w:rFonts w:hint="eastAsia" w:ascii="宋体" w:hAnsi="宋体" w:eastAsia="宋体" w:cs="宋体"/>
                <w:sz w:val="21"/>
                <w:szCs w:val="21"/>
              </w:rPr>
            </w:pPr>
            <w:r>
              <w:rPr>
                <w:rFonts w:hint="eastAsia" w:ascii="宋体" w:hAnsi="宋体" w:eastAsia="宋体" w:cs="宋体"/>
                <w:sz w:val="21"/>
                <w:szCs w:val="21"/>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组织应对变更的有效性进行评价，确保质量管理体系的完整性。</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100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7.1.1</w:t>
            </w:r>
          </w:p>
          <w:p>
            <w:pPr>
              <w:pStyle w:val="5"/>
              <w:jc w:val="both"/>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E7.1</w:t>
            </w:r>
          </w:p>
        </w:tc>
        <w:tc>
          <w:tcPr>
            <w:tcW w:w="11263" w:type="dxa"/>
            <w:vAlign w:val="center"/>
          </w:tcPr>
          <w:p>
            <w:pPr>
              <w:numPr>
                <w:numId w:val="0"/>
              </w:numPr>
              <w:rPr>
                <w:rFonts w:hint="eastAsia" w:ascii="宋体" w:hAnsi="宋体" w:eastAsia="宋体" w:cs="宋体"/>
                <w:sz w:val="21"/>
                <w:szCs w:val="21"/>
              </w:rPr>
            </w:pPr>
            <w:r>
              <w:rPr>
                <w:rFonts w:hint="eastAsia" w:ascii="宋体" w:hAnsi="宋体" w:eastAsia="宋体" w:cs="宋体"/>
                <w:sz w:val="21"/>
                <w:szCs w:val="21"/>
              </w:rPr>
              <w:t>●企</w:t>
            </w:r>
            <w:r>
              <w:rPr>
                <w:rFonts w:hint="eastAsia" w:ascii="宋体" w:hAnsi="宋体" w:eastAsia="宋体" w:cs="宋体"/>
                <w:sz w:val="21"/>
                <w:szCs w:val="21"/>
              </w:rPr>
              <w:t>业配备管理体系运行所需资源</w:t>
            </w:r>
          </w:p>
          <w:p>
            <w:pPr>
              <w:numPr>
                <w:ilvl w:val="0"/>
                <w:numId w:val="3"/>
              </w:numPr>
              <w:rPr>
                <w:rFonts w:hint="default" w:eastAsia="宋体"/>
                <w:lang w:val="en-US" w:eastAsia="zh-CN"/>
              </w:rPr>
            </w:pPr>
            <w:r>
              <w:rPr>
                <w:rFonts w:hint="eastAsia" w:ascii="宋体" w:hAnsi="宋体" w:eastAsia="宋体" w:cs="宋体"/>
                <w:sz w:val="21"/>
                <w:szCs w:val="21"/>
                <w:lang w:val="en-US" w:eastAsia="zh-CN"/>
              </w:rPr>
              <w:t>企业位于</w:t>
            </w:r>
            <w:r>
              <w:rPr>
                <w:rFonts w:hint="eastAsia" w:ascii="宋体" w:hAnsi="宋体" w:eastAsia="宋体" w:cs="宋体"/>
                <w:sz w:val="21"/>
                <w:szCs w:val="21"/>
              </w:rPr>
              <w:t>沧州市运河区迎宾北道（原西二环路）饲料加工厂门口西侧第二间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现场</w:t>
            </w:r>
            <w:r>
              <w:rPr>
                <w:rFonts w:hint="eastAsia" w:ascii="宋体" w:hAnsi="宋体" w:eastAsia="宋体" w:cs="宋体"/>
                <w:b w:val="0"/>
                <w:sz w:val="21"/>
                <w:szCs w:val="21"/>
              </w:rPr>
              <w:t>厂房面积</w:t>
            </w:r>
            <w:r>
              <w:rPr>
                <w:rFonts w:hint="eastAsia" w:ascii="宋体" w:hAnsi="宋体" w:eastAsia="宋体" w:cs="宋体"/>
                <w:b w:val="0"/>
                <w:sz w:val="21"/>
                <w:szCs w:val="21"/>
                <w:lang w:val="en-US" w:eastAsia="zh-CN"/>
              </w:rPr>
              <w:t>约54</w:t>
            </w:r>
            <w:r>
              <w:rPr>
                <w:rFonts w:hint="eastAsia" w:ascii="宋体" w:hAnsi="宋体" w:eastAsia="宋体" w:cs="宋体"/>
                <w:b w:val="0"/>
                <w:sz w:val="21"/>
                <w:szCs w:val="21"/>
              </w:rPr>
              <w:t>00平方左右，库房</w:t>
            </w:r>
            <w:r>
              <w:rPr>
                <w:rFonts w:hint="eastAsia" w:ascii="宋体" w:hAnsi="宋体" w:eastAsia="宋体" w:cs="宋体"/>
                <w:b w:val="0"/>
                <w:sz w:val="21"/>
                <w:szCs w:val="21"/>
                <w:lang w:val="en-US" w:eastAsia="zh-CN"/>
              </w:rPr>
              <w:t>20</w:t>
            </w:r>
            <w:r>
              <w:rPr>
                <w:rFonts w:hint="eastAsia" w:ascii="宋体" w:hAnsi="宋体" w:eastAsia="宋体" w:cs="宋体"/>
                <w:b w:val="0"/>
                <w:sz w:val="21"/>
                <w:szCs w:val="21"/>
              </w:rPr>
              <w:t>00平方左右，办公场所面积</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00平方</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危废间1间，面积约20平米。</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人员：主要工作人员</w:t>
            </w:r>
            <w:r>
              <w:rPr>
                <w:rFonts w:hint="eastAsia" w:ascii="宋体" w:hAnsi="宋体" w:eastAsia="宋体" w:cs="宋体"/>
                <w:sz w:val="21"/>
                <w:szCs w:val="21"/>
                <w:lang w:val="en-US" w:eastAsia="zh-CN"/>
              </w:rPr>
              <w:t>2</w:t>
            </w:r>
            <w:r>
              <w:rPr>
                <w:rFonts w:hint="eastAsia" w:ascii="宋体" w:hAnsi="宋体" w:eastAsia="宋体" w:cs="宋体"/>
                <w:sz w:val="21"/>
                <w:szCs w:val="21"/>
              </w:rPr>
              <w:t>0名，</w:t>
            </w:r>
            <w:r>
              <w:rPr>
                <w:rFonts w:hint="eastAsia" w:ascii="宋体" w:hAnsi="宋体" w:eastAsia="宋体" w:cs="宋体"/>
                <w:sz w:val="21"/>
                <w:szCs w:val="21"/>
                <w:lang w:val="en-US" w:eastAsia="zh-CN"/>
              </w:rPr>
              <w:t>人员稳定，无变动。</w:t>
            </w:r>
            <w:r>
              <w:rPr>
                <w:rFonts w:hint="eastAsia" w:ascii="宋体" w:hAnsi="宋体" w:eastAsia="宋体" w:cs="宋体"/>
                <w:sz w:val="21"/>
                <w:szCs w:val="21"/>
              </w:rPr>
              <w:t>包括管理、业务人员、生产</w:t>
            </w:r>
            <w:r>
              <w:rPr>
                <w:rFonts w:hint="eastAsia" w:ascii="宋体" w:hAnsi="宋体" w:eastAsia="宋体" w:cs="宋体"/>
                <w:sz w:val="21"/>
                <w:szCs w:val="21"/>
                <w:lang w:val="en-US" w:eastAsia="zh-CN"/>
              </w:rPr>
              <w:t>技术人员、检验人员</w:t>
            </w:r>
            <w:r>
              <w:rPr>
                <w:rFonts w:hint="eastAsia" w:ascii="宋体" w:hAnsi="宋体" w:eastAsia="宋体" w:cs="宋体"/>
                <w:sz w:val="21"/>
                <w:szCs w:val="21"/>
              </w:rPr>
              <w:t>等。</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基础设施</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生产配备：搅拌罐、储油罐、油泵、灌装机、分散机等。</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检验设备：全自动酸值测定仪、电子天平、密度计、电动搅拌器、计量泵等，计量设备经过校准，均在有效期内；</w:t>
            </w:r>
          </w:p>
          <w:p>
            <w:pPr>
              <w:numPr>
                <w:numId w:val="0"/>
              </w:numPr>
              <w:rPr>
                <w:rFonts w:hint="eastAsia" w:ascii="宋体" w:hAnsi="宋体" w:eastAsia="宋体" w:cs="宋体"/>
                <w:sz w:val="21"/>
                <w:szCs w:val="21"/>
              </w:rPr>
            </w:pPr>
            <w:r>
              <w:rPr>
                <w:rFonts w:hint="eastAsia" w:ascii="宋体" w:hAnsi="宋体" w:eastAsia="宋体" w:cs="宋体"/>
                <w:sz w:val="21"/>
                <w:szCs w:val="21"/>
              </w:rPr>
              <w:t>办公设备：电话，电脑、打印机、复印机、空调、办公桌椅等办公和通讯设备。</w:t>
            </w:r>
          </w:p>
          <w:p>
            <w:pPr>
              <w:numPr>
                <w:numId w:val="0"/>
              </w:numPr>
              <w:rPr>
                <w:rFonts w:hint="eastAsia" w:ascii="宋体" w:hAnsi="宋体" w:eastAsia="宋体" w:cs="宋体"/>
                <w:sz w:val="21"/>
                <w:szCs w:val="21"/>
              </w:rPr>
            </w:pPr>
            <w:r>
              <w:rPr>
                <w:rFonts w:hint="eastAsia" w:ascii="宋体" w:hAnsi="宋体" w:eastAsia="宋体" w:cs="宋体"/>
                <w:sz w:val="21"/>
                <w:szCs w:val="21"/>
                <w:lang w:val="en-US" w:eastAsia="zh-CN"/>
              </w:rPr>
              <w:t>环保设施：水喷淋系统，消防栓，灭火器；</w:t>
            </w:r>
            <w:r>
              <w:rPr>
                <w:rFonts w:hint="eastAsia" w:ascii="宋体" w:hAnsi="宋体" w:eastAsia="宋体" w:cs="宋体"/>
                <w:sz w:val="21"/>
                <w:szCs w:val="21"/>
              </w:rPr>
              <w:t xml:space="preserve"> </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外部资源：如供方、客户等相关方。</w:t>
            </w:r>
          </w:p>
          <w:p>
            <w:pPr>
              <w:numPr>
                <w:ilvl w:val="0"/>
                <w:numId w:val="3"/>
              </w:numPr>
              <w:rPr>
                <w:rFonts w:hint="eastAsia" w:ascii="宋体" w:hAnsi="宋体" w:eastAsia="宋体" w:cs="宋体"/>
                <w:sz w:val="21"/>
                <w:szCs w:val="21"/>
              </w:rPr>
            </w:pPr>
            <w:r>
              <w:rPr>
                <w:rFonts w:hint="eastAsia" w:ascii="宋体" w:hAnsi="宋体" w:eastAsia="宋体" w:cs="宋体"/>
                <w:sz w:val="21"/>
                <w:szCs w:val="21"/>
                <w:lang w:val="en-US" w:eastAsia="zh-CN"/>
              </w:rPr>
              <w:t>资金支持：注册资金：500万元。</w:t>
            </w:r>
          </w:p>
          <w:p>
            <w:pPr>
              <w:numPr>
                <w:ilvl w:val="0"/>
                <w:numId w:val="3"/>
              </w:num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w:t>
            </w:r>
            <w:r>
              <w:rPr>
                <w:rFonts w:hint="eastAsia" w:ascii="宋体" w:hAnsi="宋体" w:eastAsia="宋体" w:cs="宋体"/>
                <w:sz w:val="21"/>
                <w:szCs w:val="21"/>
              </w:rPr>
              <w:t>企业所提供的内外部资源基本能满足管理体系运行的需要。</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9.3</w:t>
            </w:r>
          </w:p>
        </w:tc>
        <w:tc>
          <w:tcPr>
            <w:tcW w:w="11263" w:type="dxa"/>
            <w:vAlign w:val="center"/>
          </w:tcPr>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仍执行</w:t>
            </w:r>
            <w:r>
              <w:rPr>
                <w:rFonts w:hint="eastAsia" w:ascii="宋体" w:hAnsi="宋体" w:eastAsia="宋体" w:cs="宋体"/>
                <w:sz w:val="21"/>
                <w:szCs w:val="21"/>
              </w:rPr>
              <w:t>《管理评审控制程序</w:t>
            </w:r>
            <w:r>
              <w:rPr>
                <w:rFonts w:hint="eastAsia" w:ascii="宋体" w:hAnsi="宋体"/>
                <w:lang w:eastAsia="zh-CN"/>
              </w:rPr>
              <w:t>YDBR</w:t>
            </w:r>
            <w:r>
              <w:rPr>
                <w:rFonts w:hint="eastAsia" w:ascii="宋体" w:hAnsi="宋体"/>
              </w:rPr>
              <w:t>-PD07</w:t>
            </w:r>
            <w:r>
              <w:rPr>
                <w:rFonts w:hint="eastAsia" w:ascii="宋体" w:hAnsi="宋体" w:eastAsia="宋体" w:cs="宋体"/>
                <w:sz w:val="21"/>
                <w:szCs w:val="21"/>
              </w:rPr>
              <w:t>》，</w:t>
            </w:r>
            <w:r>
              <w:rPr>
                <w:rFonts w:hint="eastAsia" w:ascii="宋体" w:hAnsi="宋体" w:eastAsia="宋体" w:cs="宋体"/>
                <w:sz w:val="21"/>
                <w:szCs w:val="21"/>
                <w:lang w:val="en-US" w:eastAsia="zh-CN"/>
              </w:rPr>
              <w:t>程序对管理评审的频次、输入等内容进行了规定，一般每年年底进行</w:t>
            </w:r>
            <w:r>
              <w:rPr>
                <w:rFonts w:hint="eastAsia" w:ascii="宋体" w:hAnsi="宋体" w:eastAsia="宋体" w:cs="宋体"/>
                <w:sz w:val="21"/>
                <w:szCs w:val="21"/>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w:t>
            </w:r>
            <w:r>
              <w:rPr>
                <w:rFonts w:hint="eastAsia" w:ascii="宋体" w:hAnsi="宋体" w:eastAsia="宋体" w:cs="宋体"/>
                <w:sz w:val="21"/>
                <w:szCs w:val="21"/>
                <w:lang w:val="en-US" w:eastAsia="zh-CN"/>
              </w:rPr>
              <w:t>业于2022年12月22日组织召开了管理评审。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zh-CN"/>
              </w:rPr>
              <w:t>了《管理评审计划》策划了管理评审</w:t>
            </w:r>
            <w:r>
              <w:rPr>
                <w:rFonts w:hint="eastAsia" w:ascii="宋体" w:hAnsi="宋体" w:eastAsia="宋体" w:cs="宋体"/>
                <w:sz w:val="21"/>
                <w:szCs w:val="21"/>
                <w:lang w:val="en-US" w:eastAsia="zh-CN"/>
              </w:rPr>
              <w:t>范围、目的、时间、参加人员、管理评审内容及资料等。</w:t>
            </w:r>
            <w:r>
              <w:rPr>
                <w:rFonts w:hint="eastAsia" w:ascii="宋体" w:hAnsi="宋体" w:eastAsia="宋体" w:cs="宋体"/>
                <w:sz w:val="21"/>
                <w:szCs w:val="21"/>
                <w:lang w:val="en-US" w:eastAsia="zh-CN"/>
              </w:rPr>
              <w:t>编制：王欢，审批：张艳平，2022-12-25。</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查看计划要求输入的内容有：以往管理评审采取的措施，相关方要求及期望，管理目标实现程度，外部供方绩效等内容；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提供了管代和各部门</w:t>
            </w:r>
            <w:r>
              <w:rPr>
                <w:rFonts w:hint="eastAsia" w:ascii="宋体" w:hAnsi="宋体" w:eastAsia="宋体" w:cs="宋体"/>
                <w:sz w:val="21"/>
                <w:szCs w:val="21"/>
                <w:lang w:val="en-US" w:eastAsia="zh-CN"/>
              </w:rPr>
              <w:t>主管做的管理评审报告，报告涵盖输入的内容；</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提供了管理评审签到表，有各部门签到；</w:t>
            </w:r>
          </w:p>
          <w:p>
            <w:pPr>
              <w:rPr>
                <w:rFonts w:hint="eastAsia" w:ascii="宋体" w:hAnsi="宋体" w:eastAsia="宋体" w:cs="宋体"/>
                <w:sz w:val="21"/>
                <w:szCs w:val="21"/>
              </w:rPr>
            </w:pPr>
            <w:r>
              <w:rPr>
                <w:rFonts w:hint="eastAsia" w:ascii="宋体" w:hAnsi="宋体" w:eastAsia="宋体" w:cs="宋体"/>
                <w:sz w:val="21"/>
                <w:szCs w:val="21"/>
                <w:lang w:val="en-US" w:eastAsia="zh-CN"/>
              </w:rPr>
              <w:t>提供《管理评审报告》，</w:t>
            </w:r>
            <w:r>
              <w:rPr>
                <w:rFonts w:hint="eastAsia" w:ascii="宋体" w:hAnsi="宋体" w:eastAsia="宋体" w:cs="宋体"/>
                <w:sz w:val="21"/>
                <w:szCs w:val="21"/>
              </w:rPr>
              <w:t>对评审情况进行了总结，各部门对各过程和活动进行了总结和讨论。</w:t>
            </w:r>
          </w:p>
          <w:p>
            <w:pPr>
              <w:rPr>
                <w:rFonts w:hint="eastAsia" w:ascii="宋体" w:hAnsi="宋体" w:eastAsia="宋体" w:cs="宋体"/>
                <w:sz w:val="21"/>
                <w:szCs w:val="21"/>
              </w:rPr>
            </w:pPr>
            <w:r>
              <w:rPr>
                <w:rFonts w:hint="eastAsia" w:ascii="宋体" w:hAnsi="宋体" w:eastAsia="宋体" w:cs="宋体"/>
                <w:sz w:val="21"/>
                <w:szCs w:val="21"/>
              </w:rPr>
              <w:t>评审结论：公司已按GB/T19001-2016、GB/T24001-2016、GB/T45001-2020 标准建立了符合本公司实际的管理体系，体系是持续适宜的、充分的和有效的、基本能够得到实施和保持。方针、目标和指标是适应的，正在通过体系的运行不断实现。通过本次管理评审，确保了质量、环境和职业健康安全方针、目标和管理体系持续的适直性、充分性达到了持续改进的目的，为下一步外审工作奠定了良好的基础。</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管理评审提出</w:t>
            </w:r>
            <w:r>
              <w:rPr>
                <w:rFonts w:hint="eastAsia" w:ascii="宋体" w:hAnsi="宋体" w:eastAsia="宋体" w:cs="宋体"/>
                <w:sz w:val="21"/>
                <w:szCs w:val="21"/>
              </w:rPr>
              <w:t>改进</w:t>
            </w:r>
            <w:r>
              <w:rPr>
                <w:rFonts w:hint="eastAsia" w:ascii="宋体" w:hAnsi="宋体" w:eastAsia="宋体" w:cs="宋体"/>
                <w:sz w:val="21"/>
                <w:szCs w:val="21"/>
                <w:lang w:val="en-US" w:eastAsia="zh-CN"/>
              </w:rPr>
              <w:t>决议2项，制定了改进措施，已进行相关培训。</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基本符合要求。</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改进  总则</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10.1</w:t>
            </w:r>
          </w:p>
        </w:tc>
        <w:tc>
          <w:tcPr>
            <w:tcW w:w="11263"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查公司在建立、实施管理体系中：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a.制订各种控制程序文件：不符合、纠正和预防措施控制程序、事故调查处理控制程序</w:t>
            </w:r>
            <w:r>
              <w:rPr>
                <w:rFonts w:hint="eastAsia" w:ascii="宋体" w:hAnsi="宋体" w:eastAsia="宋体" w:cs="宋体"/>
                <w:sz w:val="21"/>
                <w:szCs w:val="21"/>
                <w:lang w:val="en-US" w:eastAsia="zh-CN"/>
              </w:rPr>
              <w:t>等程序文件</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b.通过内审、管理评审评价管理体系的符合性；</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c.通过</w:t>
            </w:r>
            <w:r>
              <w:rPr>
                <w:rFonts w:hint="eastAsia" w:ascii="宋体" w:hAnsi="宋体" w:eastAsia="宋体" w:cs="宋体"/>
                <w:sz w:val="21"/>
                <w:szCs w:val="21"/>
                <w:lang w:val="en-US" w:eastAsia="zh-CN"/>
              </w:rPr>
              <w:t>环境、</w:t>
            </w:r>
            <w:r>
              <w:rPr>
                <w:rFonts w:hint="eastAsia" w:ascii="宋体" w:hAnsi="宋体" w:eastAsia="宋体" w:cs="宋体"/>
                <w:sz w:val="21"/>
                <w:szCs w:val="21"/>
                <w:lang w:eastAsia="zh-CN"/>
              </w:rPr>
              <w:t>职业健康安全绩效的监视测量评价销售服务过程涉及环境、</w:t>
            </w:r>
            <w:r>
              <w:rPr>
                <w:rFonts w:hint="eastAsia" w:ascii="宋体" w:hAnsi="宋体" w:eastAsia="宋体" w:cs="宋体"/>
                <w:sz w:val="21"/>
                <w:szCs w:val="21"/>
                <w:lang w:val="en-US" w:eastAsia="zh-CN"/>
              </w:rPr>
              <w:t>职业健康安全</w:t>
            </w:r>
            <w:r>
              <w:rPr>
                <w:rFonts w:hint="eastAsia" w:ascii="宋体" w:hAnsi="宋体" w:eastAsia="宋体" w:cs="宋体"/>
                <w:sz w:val="21"/>
                <w:szCs w:val="21"/>
                <w:lang w:eastAsia="zh-CN"/>
              </w:rPr>
              <w:t>管理的符合性；通过日常数据分析，采取纠正、预防措施，达到持续改进目的。</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57"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改进</w:t>
            </w:r>
          </w:p>
        </w:tc>
        <w:tc>
          <w:tcPr>
            <w:tcW w:w="100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10.3</w:t>
            </w:r>
          </w:p>
        </w:tc>
        <w:tc>
          <w:tcPr>
            <w:tcW w:w="11263"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查持续改进：</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a. 通过管理体系运行，管理方针、目标的实施，内审、管理评审进行持续改进；</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b. 通过数据分析、纠正、预防措施实施达到持续改进；</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c. 通过顾客满意度调查，改进、提高产品质量，满足顾客需求，达到持续改进的目的。</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内审不符合及</w:t>
            </w:r>
            <w:bookmarkStart w:id="0" w:name="_GoBack"/>
            <w:bookmarkEnd w:id="0"/>
            <w:r>
              <w:rPr>
                <w:rFonts w:hint="eastAsia" w:ascii="宋体" w:hAnsi="宋体" w:eastAsia="宋体" w:cs="宋体"/>
                <w:sz w:val="21"/>
                <w:szCs w:val="21"/>
                <w:lang w:eastAsia="zh-CN"/>
              </w:rPr>
              <w:t>管理评审提出</w:t>
            </w:r>
            <w:r>
              <w:rPr>
                <w:rFonts w:hint="eastAsia" w:ascii="宋体" w:hAnsi="宋体" w:eastAsia="宋体" w:cs="宋体"/>
                <w:sz w:val="21"/>
                <w:szCs w:val="21"/>
                <w:lang w:val="en-US" w:eastAsia="zh-CN"/>
              </w:rPr>
              <w:t>建议，改进措施已实施。</w:t>
            </w:r>
          </w:p>
        </w:tc>
        <w:tc>
          <w:tcPr>
            <w:tcW w:w="989"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bl>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注：不符合标注“N”</w:t>
      </w:r>
    </w:p>
    <w:p>
      <w:pPr>
        <w:pStyle w:val="9"/>
        <w:rPr>
          <w:rFonts w:hint="eastAsia" w:ascii="宋体" w:hAnsi="宋体" w:eastAsia="宋体" w:cs="宋体"/>
          <w:kern w:val="2"/>
          <w:sz w:val="21"/>
          <w:szCs w:val="21"/>
          <w:lang w:val="en-US" w:eastAsia="zh-CN" w:bidi="ar-SA"/>
        </w:rPr>
      </w:pPr>
    </w:p>
    <w:p>
      <w:pPr>
        <w:pStyle w:val="7"/>
        <w:rPr>
          <w:rFonts w:hint="eastAsia" w:ascii="宋体" w:hAnsi="宋体" w:eastAsia="宋体" w:cs="宋体"/>
          <w:kern w:val="2"/>
          <w:sz w:val="21"/>
          <w:szCs w:val="21"/>
          <w:lang w:val="en-US" w:eastAsia="zh-CN" w:bidi="ar-SA"/>
        </w:rPr>
      </w:pPr>
    </w:p>
    <w:p>
      <w:pPr>
        <w:pStyle w:val="9"/>
        <w:rPr>
          <w:rFonts w:hint="eastAsia"/>
          <w:lang w:val="en-US" w:eastAsia="zh-CN"/>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both"/>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隶书" w:hAnsi="宋体" w:eastAsia="隶书"/>
          <w:bCs/>
          <w:color w:val="000000"/>
          <w:sz w:val="36"/>
          <w:szCs w:val="36"/>
        </w:rPr>
      </w:pPr>
      <w:r>
        <w:rPr>
          <w:rFonts w:hint="eastAsia" w:ascii="宋体" w:hAnsi="宋体" w:eastAsia="宋体" w:cs="宋体"/>
          <w:b/>
          <w:bCs/>
          <w:sz w:val="30"/>
          <w:szCs w:val="30"/>
        </w:rPr>
        <w:t>管理体系审核记录表</w:t>
      </w:r>
    </w:p>
    <w:tbl>
      <w:tblPr>
        <w:tblStyle w:val="1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054"/>
        <w:gridCol w:w="1134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7"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355"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3818"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王欢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张杰</w:t>
            </w:r>
          </w:p>
        </w:tc>
        <w:tc>
          <w:tcPr>
            <w:tcW w:w="319"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vMerge w:val="continue"/>
            <w:noWrap w:val="0"/>
            <w:vAlign w:val="center"/>
          </w:tcPr>
          <w:p>
            <w:pPr>
              <w:rPr>
                <w:rFonts w:hint="eastAsia" w:ascii="宋体" w:hAnsi="宋体" w:eastAsia="宋体" w:cs="宋体"/>
                <w:sz w:val="21"/>
                <w:szCs w:val="21"/>
              </w:rPr>
            </w:pPr>
          </w:p>
        </w:tc>
        <w:tc>
          <w:tcPr>
            <w:tcW w:w="355" w:type="pct"/>
            <w:vMerge w:val="continue"/>
            <w:noWrap w:val="0"/>
            <w:vAlign w:val="center"/>
          </w:tcPr>
          <w:p>
            <w:pPr>
              <w:rPr>
                <w:rFonts w:hint="eastAsia" w:ascii="宋体" w:hAnsi="宋体" w:eastAsia="宋体" w:cs="宋体"/>
                <w:sz w:val="21"/>
                <w:szCs w:val="21"/>
              </w:rPr>
            </w:pPr>
          </w:p>
        </w:tc>
        <w:tc>
          <w:tcPr>
            <w:tcW w:w="3818"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杨园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2023年3月3日</w:t>
            </w:r>
          </w:p>
        </w:tc>
        <w:tc>
          <w:tcPr>
            <w:tcW w:w="319" w:type="pct"/>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7" w:type="pct"/>
            <w:vMerge w:val="continue"/>
            <w:noWrap w:val="0"/>
            <w:vAlign w:val="center"/>
          </w:tcPr>
          <w:p>
            <w:pPr>
              <w:rPr>
                <w:rFonts w:hint="eastAsia" w:ascii="宋体" w:hAnsi="宋体" w:eastAsia="宋体" w:cs="宋体"/>
                <w:sz w:val="21"/>
                <w:szCs w:val="21"/>
              </w:rPr>
            </w:pPr>
          </w:p>
        </w:tc>
        <w:tc>
          <w:tcPr>
            <w:tcW w:w="355" w:type="pct"/>
            <w:vMerge w:val="continue"/>
            <w:noWrap w:val="0"/>
            <w:vAlign w:val="center"/>
          </w:tcPr>
          <w:p>
            <w:pPr>
              <w:rPr>
                <w:rFonts w:hint="eastAsia" w:ascii="宋体" w:hAnsi="宋体" w:eastAsia="宋体" w:cs="宋体"/>
                <w:sz w:val="21"/>
                <w:szCs w:val="21"/>
              </w:rPr>
            </w:pPr>
          </w:p>
        </w:tc>
        <w:tc>
          <w:tcPr>
            <w:tcW w:w="3818" w:type="pct"/>
            <w:noWrap w:val="0"/>
            <w:vAlign w:val="center"/>
          </w:tcPr>
          <w:p>
            <w:pPr>
              <w:rPr>
                <w:rFonts w:hint="eastAsia"/>
              </w:rPr>
            </w:pPr>
            <w:r>
              <w:rPr>
                <w:rFonts w:hint="eastAsia"/>
              </w:rPr>
              <w:t>审核条款：</w:t>
            </w:r>
          </w:p>
          <w:p>
            <w:pPr>
              <w:rPr>
                <w:rFonts w:hint="eastAsia" w:eastAsia="宋体"/>
                <w:sz w:val="21"/>
                <w:szCs w:val="21"/>
                <w:lang w:val="en-US" w:eastAsia="zh-CN"/>
              </w:rPr>
            </w:pPr>
            <w:r>
              <w:rPr>
                <w:rFonts w:hint="eastAsia"/>
                <w:sz w:val="21"/>
                <w:szCs w:val="21"/>
              </w:rPr>
              <w:t>QMS</w:t>
            </w:r>
            <w:r>
              <w:rPr>
                <w:rFonts w:hint="eastAsia"/>
                <w:sz w:val="21"/>
                <w:szCs w:val="21"/>
                <w:lang w:val="en-US" w:eastAsia="zh-CN"/>
              </w:rPr>
              <w:t>:5.3/6.2/</w:t>
            </w:r>
            <w:r>
              <w:rPr>
                <w:rFonts w:hint="eastAsia" w:ascii="Times New Roman" w:hAnsi="Times New Roman" w:eastAsia="宋体" w:cs="Times New Roman"/>
                <w:sz w:val="21"/>
                <w:szCs w:val="21"/>
              </w:rPr>
              <w:t>8.2</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8.4</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8.5.5</w:t>
            </w:r>
            <w:r>
              <w:rPr>
                <w:rFonts w:hint="eastAsia" w:ascii="Times New Roman" w:hAnsi="Times New Roman" w:eastAsia="宋体" w:cs="Times New Roman"/>
                <w:sz w:val="21"/>
                <w:szCs w:val="21"/>
                <w:lang w:val="en-US" w:eastAsia="zh-CN"/>
              </w:rPr>
              <w:t>/</w:t>
            </w:r>
            <w:r>
              <w:rPr>
                <w:rFonts w:hint="eastAsia"/>
                <w:sz w:val="21"/>
                <w:szCs w:val="21"/>
                <w:lang w:val="en-US" w:eastAsia="zh-CN"/>
              </w:rPr>
              <w:t>9.1.1/</w:t>
            </w:r>
            <w:r>
              <w:rPr>
                <w:rFonts w:hint="eastAsia" w:ascii="Times New Roman" w:hAnsi="Times New Roman" w:eastAsia="宋体" w:cs="Times New Roman"/>
                <w:sz w:val="21"/>
                <w:szCs w:val="21"/>
              </w:rPr>
              <w:t>9.1.2</w:t>
            </w:r>
            <w:r>
              <w:rPr>
                <w:rFonts w:hint="eastAsia" w:ascii="Times New Roman" w:hAnsi="Times New Roman" w:eastAsia="宋体" w:cs="Times New Roman"/>
                <w:sz w:val="21"/>
                <w:szCs w:val="21"/>
                <w:lang w:val="en-US" w:eastAsia="zh-CN"/>
              </w:rPr>
              <w:t>/</w:t>
            </w:r>
            <w:r>
              <w:rPr>
                <w:rFonts w:hint="eastAsia"/>
                <w:sz w:val="21"/>
                <w:szCs w:val="21"/>
                <w:lang w:val="en-US" w:eastAsia="zh-CN"/>
              </w:rPr>
              <w:t>9.2/10</w:t>
            </w:r>
            <w:r>
              <w:rPr>
                <w:rFonts w:hint="eastAsia"/>
                <w:sz w:val="21"/>
                <w:szCs w:val="21"/>
              </w:rPr>
              <w:t>.</w:t>
            </w:r>
            <w:r>
              <w:rPr>
                <w:rFonts w:hint="eastAsia"/>
                <w:sz w:val="21"/>
                <w:szCs w:val="21"/>
                <w:lang w:val="en-US" w:eastAsia="zh-CN"/>
              </w:rPr>
              <w:t>2</w:t>
            </w:r>
          </w:p>
          <w:p>
            <w:pPr>
              <w:pStyle w:val="9"/>
              <w:rPr>
                <w:rFonts w:hint="eastAsia"/>
                <w:lang w:val="en-US" w:eastAsia="zh-CN"/>
              </w:rPr>
            </w:pPr>
            <w:r>
              <w:rPr>
                <w:rFonts w:hint="eastAsia"/>
                <w:sz w:val="21"/>
                <w:szCs w:val="21"/>
              </w:rPr>
              <w:t>EMS:</w:t>
            </w:r>
            <w:r>
              <w:rPr>
                <w:rFonts w:hint="eastAsia"/>
                <w:sz w:val="21"/>
                <w:szCs w:val="21"/>
                <w:lang w:val="en-US" w:eastAsia="zh-CN"/>
              </w:rPr>
              <w:t>5.3/6.2/9.2/10</w:t>
            </w:r>
            <w:r>
              <w:rPr>
                <w:rFonts w:hint="eastAsia"/>
                <w:sz w:val="21"/>
                <w:szCs w:val="21"/>
              </w:rPr>
              <w:t>.</w:t>
            </w:r>
            <w:r>
              <w:rPr>
                <w:rFonts w:hint="eastAsia"/>
                <w:sz w:val="21"/>
                <w:szCs w:val="21"/>
                <w:lang w:val="en-US" w:eastAsia="zh-CN"/>
              </w:rPr>
              <w:t>2</w:t>
            </w:r>
          </w:p>
        </w:tc>
        <w:tc>
          <w:tcPr>
            <w:tcW w:w="319" w:type="pct"/>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7" w:type="pct"/>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岗位职责权限</w:t>
            </w:r>
          </w:p>
        </w:tc>
        <w:tc>
          <w:tcPr>
            <w:tcW w:w="355" w:type="pct"/>
            <w:noWrap w:val="0"/>
            <w:vAlign w:val="center"/>
          </w:tcPr>
          <w:p>
            <w:pPr>
              <w:pStyle w:val="22"/>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QE5.3</w:t>
            </w:r>
          </w:p>
        </w:tc>
        <w:tc>
          <w:tcPr>
            <w:tcW w:w="3818" w:type="pct"/>
            <w:noWrap w:val="0"/>
            <w:vAlign w:val="center"/>
          </w:tcPr>
          <w:p>
            <w:pPr>
              <w:rPr>
                <w:rFonts w:hint="eastAsia" w:ascii="Times New Roman" w:hAnsi="Times New Roman" w:eastAsia="宋体" w:cs="Times New Roman"/>
                <w:lang w:val="en-US" w:eastAsia="zh-CN"/>
              </w:rPr>
            </w:pPr>
            <w:r>
              <w:rPr>
                <w:rFonts w:hint="eastAsia"/>
                <w:lang w:val="en-US" w:eastAsia="zh-CN"/>
              </w:rPr>
              <w:t>办</w:t>
            </w:r>
            <w:r>
              <w:rPr>
                <w:rFonts w:hint="eastAsia" w:ascii="Times New Roman" w:hAnsi="Times New Roman" w:eastAsia="宋体" w:cs="Times New Roman"/>
                <w:lang w:val="en-US" w:eastAsia="zh-CN"/>
              </w:rPr>
              <w:t>公室负责人：王欢；</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王主任介绍本部门主要人员无变动。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办公室主要负责：行政工作，人力资源管理工作，人员招聘培训等；负责进行市场调查与顾客满意度的调查销售管理工作；负责销</w:t>
            </w:r>
            <w:r>
              <w:rPr>
                <w:rFonts w:hint="eastAsia" w:ascii="Times New Roman" w:hAnsi="Times New Roman" w:eastAsia="宋体" w:cs="Times New Roman"/>
                <w:lang w:val="en-US" w:eastAsia="zh-CN"/>
              </w:rPr>
              <w:t>售合同的签定及与合同和顾客有关的外部联系；向顾客进行环保及安全宣传；贯彻执行公司的方针和管理目标，本部门环境因素、危险源的识别及其控制，落实管理手册在本部门的运行，对相关方的控制；供方选择与评价，采购管理等工作。</w:t>
            </w:r>
          </w:p>
          <w:p>
            <w:pPr>
              <w:rPr>
                <w:rFonts w:hint="default"/>
                <w:lang w:val="en-US" w:eastAsia="zh-CN"/>
              </w:rPr>
            </w:pPr>
            <w:r>
              <w:rPr>
                <w:rFonts w:hint="eastAsia" w:ascii="Times New Roman" w:hAnsi="Times New Roman" w:eastAsia="宋体" w:cs="Times New Roman"/>
                <w:lang w:val="en-US" w:eastAsia="zh-CN"/>
              </w:rPr>
              <w:t>与王主任沟通，能说出本部门主要职责，回答基本全面。</w:t>
            </w:r>
          </w:p>
        </w:tc>
        <w:tc>
          <w:tcPr>
            <w:tcW w:w="319"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7" w:type="pct"/>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目标管理</w:t>
            </w:r>
          </w:p>
        </w:tc>
        <w:tc>
          <w:tcPr>
            <w:tcW w:w="355" w:type="pct"/>
            <w:noWrap w:val="0"/>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QE6.2</w:t>
            </w:r>
          </w:p>
          <w:p>
            <w:pPr>
              <w:spacing w:line="280" w:lineRule="exact"/>
              <w:rPr>
                <w:rFonts w:hint="eastAsia" w:ascii="Times New Roman" w:hAnsi="Times New Roman" w:eastAsia="宋体" w:cs="Times New Roman"/>
                <w:kern w:val="2"/>
                <w:sz w:val="21"/>
                <w:szCs w:val="21"/>
                <w:lang w:val="en-US" w:eastAsia="zh-CN" w:bidi="ar-SA"/>
              </w:rPr>
            </w:pPr>
          </w:p>
        </w:tc>
        <w:tc>
          <w:tcPr>
            <w:tcW w:w="3818" w:type="pct"/>
            <w:noWrap w:val="0"/>
            <w:vAlign w:val="center"/>
          </w:tcPr>
          <w:p>
            <w:pPr>
              <w:spacing w:line="240" w:lineRule="auto"/>
              <w:rPr>
                <w:rFonts w:hint="eastAsia"/>
                <w:lang w:val="en-US" w:eastAsia="zh-CN"/>
              </w:rPr>
            </w:pPr>
            <w:r>
              <w:rPr>
                <w:rFonts w:hint="eastAsia"/>
                <w:lang w:val="en-US" w:eastAsia="zh-CN"/>
              </w:rPr>
              <w:t>查看公司管理手册中制定了公司总的管理目标，为确保目标的实现对目标进行了分解，并制定了管理方案。</w:t>
            </w:r>
          </w:p>
          <w:p>
            <w:pPr>
              <w:spacing w:line="240" w:lineRule="auto"/>
            </w:pPr>
            <w:r>
              <w:rPr>
                <w:rFonts w:hint="eastAsia"/>
                <w:lang w:val="en-US" w:eastAsia="zh-CN"/>
              </w:rPr>
              <w:t>查办公室部门</w:t>
            </w:r>
            <w:r>
              <w:rPr>
                <w:rFonts w:hint="eastAsia"/>
              </w:rPr>
              <w:t>管理目标是：</w:t>
            </w:r>
          </w:p>
          <w:tbl>
            <w:tblPr>
              <w:tblStyle w:val="16"/>
              <w:tblW w:w="7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2"/>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center"/>
                    <w:rPr>
                      <w:rFonts w:hint="eastAsia"/>
                      <w:lang w:val="en-US" w:eastAsia="zh-CN"/>
                    </w:rPr>
                  </w:pPr>
                  <w:r>
                    <w:rPr>
                      <w:rFonts w:hint="eastAsia"/>
                      <w:lang w:val="en-US" w:eastAsia="zh-CN"/>
                    </w:rPr>
                    <w:t>目标</w:t>
                  </w:r>
                </w:p>
              </w:tc>
              <w:tc>
                <w:tcPr>
                  <w:tcW w:w="1811" w:type="dxa"/>
                  <w:noWrap w:val="0"/>
                  <w:vAlign w:val="center"/>
                </w:tcPr>
                <w:p>
                  <w:pPr>
                    <w:pStyle w:val="15"/>
                    <w:spacing w:before="0" w:beforeAutospacing="0" w:after="0" w:afterAutospacing="0" w:line="300" w:lineRule="exact"/>
                    <w:jc w:val="center"/>
                    <w:rPr>
                      <w:rFonts w:hint="default"/>
                      <w:lang w:val="en-US" w:eastAsia="zh-CN"/>
                    </w:rPr>
                  </w:pPr>
                  <w:r>
                    <w:rPr>
                      <w:rFonts w:hint="eastAsia"/>
                      <w:lang w:val="en-US" w:eastAsia="zh-CN"/>
                    </w:rPr>
                    <w:t>2022年4季度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US" w:eastAsia="zh-CN"/>
                    </w:rPr>
                  </w:pPr>
                  <w:r>
                    <w:t>内外部文件资料收集完整率及保存完好率≥9</w:t>
                  </w:r>
                  <w:r>
                    <w:rPr>
                      <w:rFonts w:hint="eastAsia"/>
                    </w:rPr>
                    <w:t>9</w:t>
                  </w:r>
                  <w:r>
                    <w:t>%</w:t>
                  </w:r>
                </w:p>
              </w:tc>
              <w:tc>
                <w:tcPr>
                  <w:tcW w:w="1811" w:type="dxa"/>
                  <w:noWrap w:val="0"/>
                  <w:vAlign w:val="center"/>
                </w:tcPr>
                <w:p>
                  <w:pPr>
                    <w:spacing w:line="300" w:lineRule="exact"/>
                    <w:jc w:val="center"/>
                    <w:rPr>
                      <w:rFonts w:hint="eastAsia"/>
                      <w:lang w:val="en-US" w:eastAsia="zh-CN"/>
                    </w:rP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GB" w:eastAsia="zh-CN"/>
                    </w:rPr>
                  </w:pPr>
                  <w:r>
                    <w:rPr>
                      <w:rFonts w:hint="eastAsia"/>
                    </w:rPr>
                    <w:t>档案管理出错率0</w:t>
                  </w:r>
                </w:p>
              </w:tc>
              <w:tc>
                <w:tcPr>
                  <w:tcW w:w="1811" w:type="dxa"/>
                  <w:noWrap w:val="0"/>
                  <w:vAlign w:val="center"/>
                </w:tcPr>
                <w:p>
                  <w:pPr>
                    <w:spacing w:line="300" w:lineRule="exact"/>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GB" w:eastAsia="zh-CN"/>
                    </w:rPr>
                  </w:pPr>
                  <w:r>
                    <w:rPr>
                      <w:rFonts w:hint="eastAsia"/>
                    </w:rPr>
                    <w:t>岗位（包括新员工、特殊员工）人员培训普及率100%，</w:t>
                  </w:r>
                </w:p>
              </w:tc>
              <w:tc>
                <w:tcPr>
                  <w:tcW w:w="1811" w:type="dxa"/>
                  <w:noWrap w:val="0"/>
                  <w:vAlign w:val="center"/>
                </w:tcPr>
                <w:p>
                  <w:pPr>
                    <w:spacing w:line="300" w:lineRule="exact"/>
                    <w:jc w:val="center"/>
                    <w:rPr>
                      <w:rFonts w:hint="eastAsia"/>
                      <w:lang w:val="en-US" w:eastAsia="zh-CN"/>
                    </w:rP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US" w:eastAsia="zh-CN"/>
                    </w:rPr>
                  </w:pPr>
                  <w:r>
                    <w:rPr>
                      <w:rFonts w:hint="eastAsia"/>
                    </w:rPr>
                    <w:t>员工培训评估、考核合格率≥99%</w:t>
                  </w:r>
                </w:p>
              </w:tc>
              <w:tc>
                <w:tcPr>
                  <w:tcW w:w="1811" w:type="dxa"/>
                  <w:noWrap w:val="0"/>
                  <w:vAlign w:val="center"/>
                </w:tcPr>
                <w:p>
                  <w:pPr>
                    <w:spacing w:line="300" w:lineRule="exact"/>
                    <w:jc w:val="center"/>
                    <w:rPr>
                      <w:rFonts w:hint="eastAsia"/>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US" w:eastAsia="zh-CN"/>
                    </w:rPr>
                  </w:pPr>
                  <w:r>
                    <w:rPr>
                      <w:rFonts w:hint="eastAsia"/>
                    </w:rPr>
                    <w:t>采购计划准时完成率≥99%</w:t>
                  </w:r>
                </w:p>
              </w:tc>
              <w:tc>
                <w:tcPr>
                  <w:tcW w:w="1811" w:type="dxa"/>
                  <w:noWrap w:val="0"/>
                  <w:vAlign w:val="center"/>
                </w:tcPr>
                <w:p>
                  <w:pPr>
                    <w:spacing w:line="300" w:lineRule="exact"/>
                    <w:jc w:val="center"/>
                    <w:rPr>
                      <w:rFonts w:hint="eastAsia"/>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GB" w:eastAsia="zh-CN"/>
                    </w:rPr>
                  </w:pPr>
                  <w:r>
                    <w:t>合同评审率100%</w:t>
                  </w:r>
                </w:p>
              </w:tc>
              <w:tc>
                <w:tcPr>
                  <w:tcW w:w="1811" w:type="dxa"/>
                  <w:noWrap w:val="0"/>
                  <w:vAlign w:val="center"/>
                </w:tcPr>
                <w:p>
                  <w:pPr>
                    <w:spacing w:line="300" w:lineRule="exact"/>
                    <w:jc w:val="center"/>
                    <w:rPr>
                      <w:rFonts w:hint="eastAsia"/>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pPr>
                  <w:r>
                    <w:rPr>
                      <w:rFonts w:hint="eastAsia"/>
                    </w:rPr>
                    <w:t>顾客满意率≥95%</w:t>
                  </w:r>
                </w:p>
              </w:tc>
              <w:tc>
                <w:tcPr>
                  <w:tcW w:w="1811" w:type="dxa"/>
                  <w:noWrap w:val="0"/>
                  <w:vAlign w:val="center"/>
                </w:tcPr>
                <w:p>
                  <w:pPr>
                    <w:spacing w:line="300" w:lineRule="exact"/>
                    <w:jc w:val="center"/>
                    <w:rPr>
                      <w:rFonts w:hint="eastAsia"/>
                      <w:lang w:val="en-US" w:eastAsia="zh-CN"/>
                    </w:rPr>
                  </w:pP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US" w:eastAsia="zh-CN"/>
                    </w:rPr>
                  </w:pPr>
                  <w:r>
                    <w:rPr>
                      <w:rFonts w:hint="eastAsia"/>
                    </w:rPr>
                    <w:t>（非顾客原因）准时交货率≥99%</w:t>
                  </w:r>
                </w:p>
              </w:tc>
              <w:tc>
                <w:tcPr>
                  <w:tcW w:w="1811" w:type="dxa"/>
                  <w:noWrap w:val="0"/>
                  <w:vAlign w:val="center"/>
                </w:tcPr>
                <w:p>
                  <w:pPr>
                    <w:jc w:val="center"/>
                    <w:rPr>
                      <w:rFonts w:hint="eastAsia"/>
                      <w:lang w:val="en-US" w:eastAsia="zh-CN"/>
                    </w:rPr>
                  </w:pPr>
                  <w:r>
                    <w:rPr>
                      <w:rFonts w:hint="eastAsia"/>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GB" w:eastAsia="zh-CN"/>
                    </w:rPr>
                  </w:pPr>
                  <w:r>
                    <w:rPr>
                      <w:rFonts w:hint="eastAsia"/>
                    </w:rPr>
                    <w:t>本部门固体废弃物集中处理率达</w:t>
                  </w:r>
                  <w:r>
                    <w:t>100%</w:t>
                  </w:r>
                </w:p>
              </w:tc>
              <w:tc>
                <w:tcPr>
                  <w:tcW w:w="1811" w:type="dxa"/>
                  <w:noWrap w:val="0"/>
                  <w:vAlign w:val="center"/>
                </w:tcPr>
                <w:p>
                  <w:pPr>
                    <w:jc w:val="center"/>
                    <w:rPr>
                      <w:rFonts w:hint="eastAsia"/>
                      <w:lang w:val="en-US" w:eastAsia="zh-CN"/>
                    </w:rPr>
                  </w:pPr>
                  <w:r>
                    <w:rPr>
                      <w:rFonts w:hint="eastAsia"/>
                      <w:lang w:val="en-US" w:eastAsia="zh-CN"/>
                    </w:rPr>
                    <w:t>100</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jc w:val="left"/>
                    <w:rPr>
                      <w:rFonts w:hint="eastAsia"/>
                      <w:lang w:val="en-GB" w:eastAsia="zh-CN"/>
                    </w:rPr>
                  </w:pPr>
                  <w:r>
                    <w:rPr>
                      <w:rFonts w:hint="eastAsia"/>
                    </w:rPr>
                    <w:t>建立供方档案，对供方环保宣传率≥99%</w:t>
                  </w:r>
                </w:p>
              </w:tc>
              <w:tc>
                <w:tcPr>
                  <w:tcW w:w="1811" w:type="dxa"/>
                  <w:noWrap w:val="0"/>
                  <w:vAlign w:val="center"/>
                </w:tcPr>
                <w:p>
                  <w:pPr>
                    <w:jc w:val="center"/>
                    <w:rPr>
                      <w:rFonts w:hint="eastAsia"/>
                      <w:lang w:val="en-US" w:eastAsia="zh-CN"/>
                    </w:rPr>
                  </w:pPr>
                  <w:r>
                    <w:rPr>
                      <w:rFonts w:hint="eastAsia"/>
                      <w:lang w:val="en-US" w:eastAsia="zh-CN"/>
                    </w:rPr>
                    <w:t>100</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rPr>
                      <w:rFonts w:hint="eastAsia"/>
                      <w:lang w:val="en-US" w:eastAsia="zh-CN"/>
                    </w:rPr>
                  </w:pPr>
                  <w:r>
                    <w:rPr>
                      <w:rFonts w:hint="eastAsia"/>
                    </w:rPr>
                    <w:t>环保账目出错为0</w:t>
                  </w:r>
                </w:p>
              </w:tc>
              <w:tc>
                <w:tcPr>
                  <w:tcW w:w="1811" w:type="dxa"/>
                  <w:noWrap w:val="0"/>
                  <w:vAlign w:val="center"/>
                </w:tcPr>
                <w:p>
                  <w:pPr>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82" w:type="dxa"/>
                  <w:noWrap w:val="0"/>
                  <w:vAlign w:val="center"/>
                </w:tcPr>
                <w:p>
                  <w:pPr>
                    <w:spacing w:line="300" w:lineRule="exact"/>
                    <w:rPr>
                      <w:rFonts w:hint="default"/>
                      <w:lang w:val="en-US" w:eastAsia="zh-CN"/>
                    </w:rPr>
                  </w:pPr>
                  <w:r>
                    <w:rPr>
                      <w:rFonts w:hint="eastAsia"/>
                      <w:lang w:val="en-US" w:eastAsia="zh-CN"/>
                    </w:rPr>
                    <w:t>考核人</w:t>
                  </w:r>
                </w:p>
              </w:tc>
              <w:tc>
                <w:tcPr>
                  <w:tcW w:w="1811" w:type="dxa"/>
                  <w:noWrap w:val="0"/>
                  <w:vAlign w:val="center"/>
                </w:tcPr>
                <w:p>
                  <w:pPr>
                    <w:jc w:val="center"/>
                    <w:rPr>
                      <w:rFonts w:hint="default"/>
                      <w:lang w:val="en-US" w:eastAsia="zh-CN"/>
                    </w:rPr>
                  </w:pPr>
                  <w:r>
                    <w:rPr>
                      <w:rFonts w:hint="eastAsia"/>
                      <w:lang w:val="en-US" w:eastAsia="zh-CN"/>
                    </w:rPr>
                    <w:t>王欢   2022.12.31</w:t>
                  </w:r>
                </w:p>
              </w:tc>
            </w:tr>
          </w:tbl>
          <w:p>
            <w:pPr>
              <w:spacing w:line="240" w:lineRule="auto"/>
            </w:pPr>
            <w:r>
              <w:rPr>
                <w:rFonts w:hint="eastAsia"/>
              </w:rPr>
              <w:t>目标可测量，与公司管理方针一致。</w:t>
            </w:r>
          </w:p>
          <w:p>
            <w:pPr>
              <w:spacing w:line="240" w:lineRule="auto"/>
              <w:rPr>
                <w:rFonts w:hint="eastAsia"/>
              </w:rPr>
            </w:pPr>
            <w:r>
              <w:rPr>
                <w:rFonts w:hint="eastAsia"/>
              </w:rPr>
              <w:t>每年由</w:t>
            </w:r>
            <w:r>
              <w:rPr>
                <w:rFonts w:hint="eastAsia"/>
                <w:lang w:eastAsia="zh-CN"/>
              </w:rPr>
              <w:t>办公室</w:t>
            </w:r>
            <w:r>
              <w:rPr>
                <w:rFonts w:hint="eastAsia"/>
              </w:rPr>
              <w:t>按公司管理目标考核要求统计考核公司管理目标完成情况，提交管理评审会议。</w:t>
            </w:r>
          </w:p>
          <w:p>
            <w:pPr>
              <w:spacing w:line="240" w:lineRule="auto"/>
              <w:rPr>
                <w:rFonts w:hint="eastAsia"/>
                <w:lang w:val="en-US" w:eastAsia="zh-CN"/>
              </w:rPr>
            </w:pPr>
            <w:r>
              <w:rPr>
                <w:rFonts w:hint="eastAsia"/>
              </w:rPr>
              <w:t>针对重要环境因素制订了管理方案</w:t>
            </w:r>
            <w:r>
              <w:rPr>
                <w:rFonts w:hint="eastAsia"/>
                <w:lang w:eastAsia="zh-CN"/>
              </w:rPr>
              <w:t>，</w:t>
            </w:r>
            <w:r>
              <w:rPr>
                <w:rFonts w:hint="eastAsia"/>
                <w:lang w:val="en-US" w:eastAsia="zh-CN"/>
              </w:rPr>
              <w:t>查看《环境目标指标管理方案》，</w:t>
            </w:r>
          </w:p>
          <w:p>
            <w:pPr>
              <w:spacing w:line="240" w:lineRule="auto"/>
              <w:rPr>
                <w:rFonts w:hint="eastAsia"/>
                <w:lang w:val="en-US" w:eastAsia="zh-CN"/>
              </w:rPr>
            </w:pPr>
            <w:r>
              <w:rPr>
                <w:rFonts w:hint="eastAsia"/>
                <w:lang w:val="en-US" w:eastAsia="zh-CN"/>
              </w:rPr>
              <w:t>——抽</w:t>
            </w:r>
            <w:r>
              <w:rPr>
                <w:rFonts w:hint="eastAsia"/>
              </w:rPr>
              <w:t>固废合理处置率100%</w:t>
            </w:r>
            <w:r>
              <w:rPr>
                <w:rFonts w:hint="eastAsia"/>
                <w:lang w:eastAsia="zh-CN"/>
              </w:rPr>
              <w:t>，</w:t>
            </w:r>
            <w:r>
              <w:rPr>
                <w:rFonts w:hint="eastAsia"/>
                <w:lang w:val="en-US" w:eastAsia="zh-CN"/>
              </w:rPr>
              <w:t>制定方案计划：</w:t>
            </w:r>
          </w:p>
          <w:p>
            <w:pPr>
              <w:spacing w:line="240" w:lineRule="auto"/>
              <w:rPr>
                <w:rFonts w:hint="eastAsia"/>
              </w:rPr>
            </w:pPr>
            <w:r>
              <w:rPr>
                <w:rFonts w:hint="eastAsia"/>
              </w:rPr>
              <w:t>固废定点暂存，集中清运，固体废弃物分类放置区，可回收和不可回收的固体废弃物分类堆放，按分类标准加以划分。</w:t>
            </w:r>
          </w:p>
          <w:p>
            <w:pPr>
              <w:spacing w:line="240" w:lineRule="auto"/>
              <w:rPr>
                <w:rFonts w:hint="eastAsia"/>
                <w:lang w:eastAsia="zh-CN"/>
              </w:rPr>
            </w:pPr>
            <w:r>
              <w:rPr>
                <w:rFonts w:hint="eastAsia"/>
              </w:rPr>
              <w:t>委托</w:t>
            </w:r>
            <w:r>
              <w:rPr>
                <w:rFonts w:hint="eastAsia"/>
                <w:lang w:val="en-US" w:eastAsia="zh-CN"/>
              </w:rPr>
              <w:t>有资质的机构</w:t>
            </w:r>
            <w:r>
              <w:rPr>
                <w:rFonts w:hint="eastAsia"/>
              </w:rPr>
              <w:t>定</w:t>
            </w:r>
            <w:r>
              <w:rPr>
                <w:rFonts w:hint="eastAsia"/>
                <w:lang w:eastAsia="zh-CN"/>
              </w:rPr>
              <w:t>期</w:t>
            </w:r>
            <w:r>
              <w:rPr>
                <w:rFonts w:hint="eastAsia"/>
                <w:lang w:val="en-US" w:eastAsia="zh-CN"/>
              </w:rPr>
              <w:t>处理危废</w:t>
            </w:r>
            <w:r>
              <w:rPr>
                <w:rFonts w:hint="eastAsia"/>
                <w:lang w:eastAsia="zh-CN"/>
              </w:rPr>
              <w:t>。</w:t>
            </w:r>
          </w:p>
          <w:p>
            <w:pPr>
              <w:spacing w:line="240" w:lineRule="auto"/>
              <w:rPr>
                <w:rFonts w:hint="eastAsia"/>
                <w:lang w:eastAsia="zh-CN"/>
              </w:rPr>
            </w:pPr>
            <w:r>
              <w:rPr>
                <w:rFonts w:hint="eastAsia"/>
                <w:lang w:eastAsia="zh-CN"/>
              </w:rPr>
              <w:t>进行培训，加强使用和操作管理，减少固废产生。</w:t>
            </w:r>
          </w:p>
          <w:p>
            <w:pPr>
              <w:spacing w:line="240" w:lineRule="auto"/>
              <w:rPr>
                <w:rFonts w:hint="eastAsia"/>
                <w:lang w:val="en-US" w:eastAsia="zh-CN"/>
              </w:rPr>
            </w:pPr>
            <w:r>
              <w:rPr>
                <w:rFonts w:hint="eastAsia"/>
              </w:rPr>
              <w:t>为了对上</w:t>
            </w:r>
            <w:r>
              <w:rPr>
                <w:rFonts w:hint="eastAsia"/>
                <w:lang w:val="en-US" w:eastAsia="zh-CN"/>
              </w:rPr>
              <w:t>述风险的有效控制，确保符合要求，办公室（财务）必须保证对风险控制资金的投入，保证各种设施配置到位。</w:t>
            </w:r>
          </w:p>
          <w:p>
            <w:pPr>
              <w:spacing w:line="240" w:lineRule="auto"/>
              <w:rPr>
                <w:rFonts w:hint="eastAsia"/>
                <w:lang w:val="en-US" w:eastAsia="zh-CN"/>
              </w:rPr>
            </w:pPr>
            <w:r>
              <w:rPr>
                <w:rFonts w:hint="eastAsia"/>
                <w:lang w:val="en-US" w:eastAsia="zh-CN"/>
              </w:rPr>
              <w:t>责任部门：办公室、生技部；监督检查人员：王欢；</w:t>
            </w:r>
          </w:p>
          <w:p>
            <w:pPr>
              <w:spacing w:line="240" w:lineRule="auto"/>
              <w:rPr>
                <w:rFonts w:hint="eastAsia" w:ascii="Times New Roman" w:hAnsi="Times New Roman" w:eastAsia="宋体" w:cs="Times New Roman"/>
                <w:lang w:val="en-US" w:eastAsia="zh-CN"/>
              </w:rPr>
            </w:pPr>
            <w:r>
              <w:rPr>
                <w:rFonts w:hint="eastAsia"/>
                <w:lang w:val="en-US" w:eastAsia="zh-CN"/>
              </w:rPr>
              <w:t>2022年9月1日，对方案实施情</w:t>
            </w:r>
            <w:r>
              <w:rPr>
                <w:rFonts w:hint="eastAsia" w:ascii="Times New Roman" w:hAnsi="Times New Roman" w:eastAsia="宋体" w:cs="Times New Roman"/>
                <w:lang w:val="en-US" w:eastAsia="zh-CN"/>
              </w:rPr>
              <w:t>况进行了评价，方案有效实施，评价人：王欢。</w:t>
            </w:r>
          </w:p>
          <w:p>
            <w:pPr>
              <w:spacing w:line="24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另查其他目标指标均制定了管理方案，落实了计划和资金支持。已完成阶段性目标。</w:t>
            </w:r>
          </w:p>
          <w:p>
            <w:pPr>
              <w:spacing w:line="240" w:lineRule="auto"/>
              <w:rPr>
                <w:rFonts w:hint="default"/>
                <w:lang w:val="en-US" w:eastAsia="zh-CN"/>
              </w:rPr>
            </w:pPr>
            <w:r>
              <w:rPr>
                <w:rFonts w:hint="eastAsia" w:ascii="Times New Roman" w:hAnsi="Times New Roman" w:eastAsia="宋体" w:cs="Times New Roman"/>
                <w:lang w:val="en-US" w:eastAsia="zh-CN"/>
              </w:rPr>
              <w:t>王主任介绍，已制定2023年度目标，与2022年相同。</w:t>
            </w:r>
          </w:p>
        </w:tc>
        <w:tc>
          <w:tcPr>
            <w:tcW w:w="319"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产品和服务提供过程</w:t>
            </w:r>
          </w:p>
        </w:tc>
        <w:tc>
          <w:tcPr>
            <w:tcW w:w="35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Q8.2</w:t>
            </w:r>
          </w:p>
        </w:tc>
        <w:tc>
          <w:tcPr>
            <w:tcW w:w="3818" w:type="pct"/>
            <w:noWrap w:val="0"/>
            <w:vAlign w:val="center"/>
          </w:tcPr>
          <w:p>
            <w:pPr>
              <w:spacing w:line="240" w:lineRule="auto"/>
              <w:rPr>
                <w:rFonts w:hint="eastAsia"/>
                <w:lang w:val="en-US" w:eastAsia="zh-CN"/>
              </w:rPr>
            </w:pPr>
            <w:r>
              <w:rPr>
                <w:rFonts w:hint="eastAsia"/>
                <w:lang w:val="en-US" w:eastAsia="zh-CN"/>
              </w:rPr>
              <w:t>●制定了《产品和服务的要求控制程序》，用于对顾客要求的识别，产品和服务的要求的评审及与顾客的沟通过程。</w:t>
            </w:r>
          </w:p>
          <w:p>
            <w:pPr>
              <w:spacing w:line="240" w:lineRule="auto"/>
              <w:rPr>
                <w:rFonts w:hint="default"/>
                <w:lang w:val="en-US" w:eastAsia="zh-CN"/>
              </w:rPr>
            </w:pPr>
            <w:r>
              <w:rPr>
                <w:rFonts w:hint="eastAsia"/>
                <w:lang w:val="en-US" w:eastAsia="zh-CN"/>
              </w:rPr>
              <w:t>王主任介绍，公司主营产品为润滑油，包括：不锈钢冷镦成型油，碳钢丝冷镦成型油，精致猪油，不锈钢切削复合剂等产品。</w:t>
            </w:r>
          </w:p>
          <w:p>
            <w:pPr>
              <w:spacing w:line="240" w:lineRule="auto"/>
              <w:rPr>
                <w:rFonts w:hint="eastAsia"/>
                <w:lang w:val="en-US" w:eastAsia="zh-CN"/>
              </w:rPr>
            </w:pPr>
            <w:r>
              <w:rPr>
                <w:rFonts w:hint="eastAsia"/>
                <w:lang w:val="en-US" w:eastAsia="zh-CN"/>
              </w:rPr>
              <w:t>公司主要通过走访、电话、邮件等方式与顾客交流，主要进行以下沟通：</w:t>
            </w:r>
          </w:p>
          <w:p>
            <w:pPr>
              <w:spacing w:line="240" w:lineRule="auto"/>
              <w:rPr>
                <w:rFonts w:hint="eastAsia"/>
                <w:lang w:val="en-US" w:eastAsia="zh-CN"/>
              </w:rPr>
            </w:pPr>
            <w:r>
              <w:rPr>
                <w:rFonts w:hint="eastAsia"/>
                <w:lang w:val="en-US" w:eastAsia="zh-CN"/>
              </w:rPr>
              <w:t>1、在产品交付中向顾客提供保证产品品质的有关信息。</w:t>
            </w:r>
          </w:p>
          <w:p>
            <w:pPr>
              <w:spacing w:line="240" w:lineRule="auto"/>
              <w:rPr>
                <w:rFonts w:hint="eastAsia"/>
              </w:rPr>
            </w:pPr>
            <w:r>
              <w:rPr>
                <w:rFonts w:hint="eastAsia"/>
                <w:lang w:val="en-US" w:eastAsia="zh-CN"/>
              </w:rPr>
              <w:t>2、接受顾客问询、询价、合</w:t>
            </w:r>
            <w:r>
              <w:rPr>
                <w:rFonts w:hint="eastAsia"/>
              </w:rPr>
              <w:t>同的处理。</w:t>
            </w:r>
          </w:p>
          <w:p>
            <w:pPr>
              <w:rPr>
                <w:rFonts w:hint="eastAsia"/>
              </w:rPr>
            </w:pPr>
            <w:r>
              <w:rPr>
                <w:rFonts w:hint="eastAsia"/>
              </w:rPr>
              <w:t>3、根据合同要求进行有关的事宜，对顾客的投诉或意见进行及时处理和答复。</w:t>
            </w:r>
          </w:p>
          <w:p>
            <w:pPr>
              <w:rPr>
                <w:rFonts w:hint="eastAsia"/>
              </w:rPr>
            </w:pPr>
            <w:r>
              <w:rPr>
                <w:rFonts w:hint="eastAsia"/>
                <w:lang w:val="en-US" w:eastAsia="zh-CN"/>
              </w:rPr>
              <w:t>自上次审核以来，</w:t>
            </w:r>
            <w:r>
              <w:rPr>
                <w:rFonts w:hint="eastAsia"/>
              </w:rPr>
              <w:t>未发生顾客不满意及投诉现象。</w:t>
            </w:r>
          </w:p>
          <w:p>
            <w:pPr>
              <w:rPr>
                <w:rFonts w:hint="default"/>
                <w:lang w:val="en-US" w:eastAsia="zh-CN"/>
              </w:rPr>
            </w:pPr>
            <w:r>
              <w:rPr>
                <w:rFonts w:hint="eastAsia"/>
                <w:lang w:val="en-US" w:eastAsia="zh-CN"/>
              </w:rPr>
              <w:t>●提供了《合同（订单）台账》，销售合同均进行了登记。</w:t>
            </w:r>
          </w:p>
          <w:p>
            <w:pPr>
              <w:rPr>
                <w:rFonts w:hint="default"/>
                <w:lang w:val="en-US" w:eastAsia="zh-CN"/>
              </w:rPr>
            </w:pPr>
            <w:r>
              <w:rPr>
                <w:rFonts w:hint="eastAsia"/>
              </w:rPr>
              <w:t>——</w:t>
            </w:r>
            <w:r>
              <w:rPr>
                <w:rFonts w:hint="eastAsia"/>
                <w:lang w:val="en-US" w:eastAsia="zh-CN"/>
              </w:rPr>
              <w:t>抽1：</w:t>
            </w:r>
            <w:r>
              <w:rPr>
                <w:rFonts w:hint="eastAsia"/>
              </w:rPr>
              <w:t>合同签订日期为 20</w:t>
            </w:r>
            <w:r>
              <w:rPr>
                <w:rFonts w:hint="eastAsia"/>
                <w:lang w:val="en-US" w:eastAsia="zh-CN"/>
              </w:rPr>
              <w:t>23年1月30日</w:t>
            </w:r>
          </w:p>
          <w:p>
            <w:pPr>
              <w:rPr>
                <w:rFonts w:hint="eastAsia"/>
                <w:lang w:val="en-US" w:eastAsia="zh-CN"/>
              </w:rPr>
            </w:pPr>
            <w:r>
              <w:rPr>
                <w:rFonts w:hint="eastAsia"/>
              </w:rPr>
              <w:t>需</w:t>
            </w:r>
            <w:r>
              <w:rPr>
                <w:rFonts w:hint="eastAsia"/>
                <w:lang w:val="en-US" w:eastAsia="zh-CN"/>
              </w:rPr>
              <w:t>方：贵州航锐航空精密零部件制造有限公司</w:t>
            </w:r>
          </w:p>
          <w:p>
            <w:pPr>
              <w:rPr>
                <w:rFonts w:hint="default"/>
                <w:lang w:val="en-US" w:eastAsia="zh-CN"/>
              </w:rPr>
            </w:pPr>
            <w:r>
              <w:rPr>
                <w:rFonts w:hint="eastAsia"/>
                <w:lang w:val="en-US" w:eastAsia="zh-CN"/>
              </w:rPr>
              <w:t>供方：沧州市亿达渤润实话有限公司</w:t>
            </w:r>
          </w:p>
          <w:p>
            <w:pPr>
              <w:rPr>
                <w:rFonts w:hint="eastAsia"/>
                <w:lang w:val="en-US" w:eastAsia="zh-CN"/>
              </w:rPr>
            </w:pPr>
            <w:r>
              <w:rPr>
                <w:rFonts w:hint="eastAsia"/>
                <w:lang w:val="en-US" w:eastAsia="zh-CN"/>
              </w:rPr>
              <w:t>产品名称</w:t>
            </w:r>
            <w:r>
              <w:rPr>
                <w:rFonts w:hint="eastAsia"/>
              </w:rPr>
              <w:t>：</w:t>
            </w:r>
            <w:r>
              <w:rPr>
                <w:rFonts w:hint="eastAsia"/>
                <w:lang w:val="en-US" w:eastAsia="zh-CN"/>
              </w:rPr>
              <w:t>不锈钢冷镦成型油</w:t>
            </w:r>
          </w:p>
          <w:p>
            <w:pPr>
              <w:rPr>
                <w:rFonts w:hint="default"/>
                <w:lang w:val="en-US" w:eastAsia="zh-CN"/>
              </w:rPr>
            </w:pPr>
            <w:r>
              <w:rPr>
                <w:rFonts w:hint="eastAsia"/>
                <w:lang w:val="en-US" w:eastAsia="zh-CN"/>
              </w:rPr>
              <w:t>交货期限：3日；</w:t>
            </w:r>
          </w:p>
          <w:p>
            <w:pPr>
              <w:rPr>
                <w:rFonts w:hint="default"/>
                <w:lang w:val="en-US" w:eastAsia="zh-CN"/>
              </w:rPr>
            </w:pPr>
            <w:r>
              <w:rPr>
                <w:rFonts w:hint="eastAsia"/>
                <w:lang w:val="en-US" w:eastAsia="zh-CN"/>
              </w:rPr>
              <w:t>查合同有产品具体</w:t>
            </w:r>
            <w:r>
              <w:rPr>
                <w:rFonts w:hint="eastAsia"/>
              </w:rPr>
              <w:t>规格型号、数量</w:t>
            </w:r>
            <w:r>
              <w:rPr>
                <w:rFonts w:hint="eastAsia"/>
                <w:lang w:eastAsia="zh-CN"/>
              </w:rPr>
              <w:t>，</w:t>
            </w:r>
            <w:r>
              <w:rPr>
                <w:rFonts w:hint="eastAsia"/>
              </w:rPr>
              <w:t>技术要求</w:t>
            </w:r>
            <w:r>
              <w:rPr>
                <w:rFonts w:hint="eastAsia"/>
                <w:lang w:eastAsia="zh-CN"/>
              </w:rPr>
              <w:t>，</w:t>
            </w:r>
            <w:r>
              <w:rPr>
                <w:rFonts w:hint="eastAsia"/>
                <w:lang w:val="en-US" w:eastAsia="zh-CN"/>
              </w:rPr>
              <w:t>验收及验收依据，退换货说明，</w:t>
            </w:r>
            <w:r>
              <w:rPr>
                <w:rFonts w:hint="eastAsia"/>
              </w:rPr>
              <w:t>双方的责任和要求及义务</w:t>
            </w:r>
            <w:r>
              <w:rPr>
                <w:rFonts w:hint="eastAsia"/>
                <w:lang w:eastAsia="zh-CN"/>
              </w:rPr>
              <w:t>，</w:t>
            </w:r>
            <w:r>
              <w:rPr>
                <w:rFonts w:hint="eastAsia"/>
                <w:lang w:val="en-US" w:eastAsia="zh-CN"/>
              </w:rPr>
              <w:t>违约责任等；合同有双方签字盖章。</w:t>
            </w:r>
          </w:p>
          <w:p>
            <w:pPr>
              <w:rPr>
                <w:rFonts w:hint="eastAsia"/>
                <w:lang w:val="en-US" w:eastAsia="zh-CN"/>
              </w:rPr>
            </w:pPr>
            <w:r>
              <w:rPr>
                <w:rFonts w:hint="eastAsia"/>
                <w:lang w:val="en-US" w:eastAsia="zh-CN"/>
              </w:rPr>
              <w:t>——抽2：合同签订日期为2022年5月7日</w:t>
            </w:r>
          </w:p>
          <w:p>
            <w:pPr>
              <w:rPr>
                <w:rFonts w:hint="default"/>
                <w:lang w:val="en-US" w:eastAsia="zh-CN"/>
              </w:rPr>
            </w:pPr>
            <w:r>
              <w:rPr>
                <w:rFonts w:hint="eastAsia"/>
                <w:lang w:val="en-US" w:eastAsia="zh-CN"/>
              </w:rPr>
              <w:t>需方：东莞市博斯润滑油有限公司</w:t>
            </w:r>
          </w:p>
          <w:p>
            <w:pPr>
              <w:rPr>
                <w:rFonts w:hint="default"/>
                <w:lang w:val="en-US" w:eastAsia="zh-CN"/>
              </w:rPr>
            </w:pPr>
            <w:r>
              <w:rPr>
                <w:rFonts w:hint="eastAsia"/>
                <w:lang w:val="en-US" w:eastAsia="zh-CN"/>
              </w:rPr>
              <w:t>供方：沧州市亿达渤润实话有限公司</w:t>
            </w:r>
          </w:p>
          <w:p>
            <w:pPr>
              <w:rPr>
                <w:rFonts w:hint="default"/>
                <w:lang w:val="en-US" w:eastAsia="zh-CN"/>
              </w:rPr>
            </w:pPr>
            <w:r>
              <w:rPr>
                <w:rFonts w:hint="eastAsia"/>
                <w:lang w:val="en-US" w:eastAsia="zh-CN"/>
              </w:rPr>
              <w:t>产品名称</w:t>
            </w:r>
            <w:r>
              <w:rPr>
                <w:rFonts w:hint="eastAsia"/>
              </w:rPr>
              <w:t>：</w:t>
            </w:r>
            <w:r>
              <w:rPr>
                <w:rFonts w:hint="eastAsia"/>
                <w:lang w:val="en-US" w:eastAsia="zh-CN"/>
              </w:rPr>
              <w:t>不锈钢切削复合剂，硫化猪油；</w:t>
            </w:r>
          </w:p>
          <w:p>
            <w:pPr>
              <w:rPr>
                <w:rFonts w:hint="default"/>
                <w:lang w:val="en-US" w:eastAsia="zh-CN"/>
              </w:rPr>
            </w:pPr>
            <w:r>
              <w:rPr>
                <w:rFonts w:hint="eastAsia"/>
                <w:lang w:val="en-US" w:eastAsia="zh-CN"/>
              </w:rPr>
              <w:t>交货期限：3日；</w:t>
            </w:r>
          </w:p>
          <w:p>
            <w:pPr>
              <w:rPr>
                <w:rFonts w:hint="eastAsia"/>
                <w:lang w:val="en-US" w:eastAsia="zh-CN"/>
              </w:rPr>
            </w:pPr>
            <w:r>
              <w:rPr>
                <w:rFonts w:hint="eastAsia"/>
                <w:lang w:val="en-US" w:eastAsia="zh-CN"/>
              </w:rPr>
              <w:t>查合同有产品具体</w:t>
            </w:r>
            <w:r>
              <w:rPr>
                <w:rFonts w:hint="eastAsia"/>
              </w:rPr>
              <w:t>规格型号、数量</w:t>
            </w:r>
            <w:r>
              <w:rPr>
                <w:rFonts w:hint="eastAsia"/>
                <w:lang w:eastAsia="zh-CN"/>
              </w:rPr>
              <w:t>，</w:t>
            </w:r>
            <w:r>
              <w:rPr>
                <w:rFonts w:hint="eastAsia"/>
              </w:rPr>
              <w:t>技术要求</w:t>
            </w:r>
            <w:r>
              <w:rPr>
                <w:rFonts w:hint="eastAsia"/>
                <w:lang w:eastAsia="zh-CN"/>
              </w:rPr>
              <w:t>，</w:t>
            </w:r>
            <w:r>
              <w:rPr>
                <w:rFonts w:hint="eastAsia"/>
                <w:lang w:val="en-US" w:eastAsia="zh-CN"/>
              </w:rPr>
              <w:t>验收及验收依据，退换货说明，</w:t>
            </w:r>
            <w:r>
              <w:rPr>
                <w:rFonts w:hint="eastAsia"/>
              </w:rPr>
              <w:t>双方的责任和要求及义务</w:t>
            </w:r>
            <w:r>
              <w:rPr>
                <w:rFonts w:hint="eastAsia"/>
                <w:lang w:eastAsia="zh-CN"/>
              </w:rPr>
              <w:t>，</w:t>
            </w:r>
            <w:r>
              <w:rPr>
                <w:rFonts w:hint="eastAsia"/>
                <w:lang w:val="en-US" w:eastAsia="zh-CN"/>
              </w:rPr>
              <w:t>违约责任等；合同有双方签字盖章。</w:t>
            </w:r>
          </w:p>
          <w:p>
            <w:pPr>
              <w:rPr>
                <w:rFonts w:hint="eastAsia"/>
                <w:lang w:val="en-US" w:eastAsia="zh-CN"/>
              </w:rPr>
            </w:pPr>
            <w:r>
              <w:rPr>
                <w:rFonts w:hint="eastAsia"/>
                <w:lang w:val="en-US" w:eastAsia="zh-CN"/>
              </w:rPr>
              <w:t>——抽3：合同签订日期为2022年8月18日</w:t>
            </w:r>
          </w:p>
          <w:p>
            <w:pPr>
              <w:rPr>
                <w:rFonts w:hint="default"/>
                <w:lang w:val="en-US" w:eastAsia="zh-CN"/>
              </w:rPr>
            </w:pPr>
            <w:r>
              <w:rPr>
                <w:rFonts w:hint="eastAsia"/>
                <w:lang w:val="en-US" w:eastAsia="zh-CN"/>
              </w:rPr>
              <w:t>需方：东莞市博斯润滑油有限公司</w:t>
            </w:r>
          </w:p>
          <w:p>
            <w:pPr>
              <w:rPr>
                <w:rFonts w:hint="default"/>
                <w:lang w:val="en-US" w:eastAsia="zh-CN"/>
              </w:rPr>
            </w:pPr>
            <w:r>
              <w:rPr>
                <w:rFonts w:hint="eastAsia"/>
                <w:lang w:val="en-US" w:eastAsia="zh-CN"/>
              </w:rPr>
              <w:t>供方：沧州市亿达渤润实话有限公司</w:t>
            </w:r>
          </w:p>
          <w:p>
            <w:pPr>
              <w:rPr>
                <w:rFonts w:hint="default"/>
                <w:lang w:val="en-US" w:eastAsia="zh-CN"/>
              </w:rPr>
            </w:pPr>
            <w:r>
              <w:rPr>
                <w:rFonts w:hint="eastAsia"/>
                <w:lang w:val="en-US" w:eastAsia="zh-CN"/>
              </w:rPr>
              <w:t>产品名称</w:t>
            </w:r>
            <w:r>
              <w:rPr>
                <w:rFonts w:hint="eastAsia"/>
              </w:rPr>
              <w:t>：</w:t>
            </w:r>
            <w:r>
              <w:rPr>
                <w:rFonts w:hint="eastAsia"/>
                <w:lang w:val="en-US" w:eastAsia="zh-CN"/>
              </w:rPr>
              <w:t>不锈钢成型油</w:t>
            </w:r>
          </w:p>
          <w:p>
            <w:pPr>
              <w:rPr>
                <w:rFonts w:hint="default"/>
                <w:lang w:val="en-US" w:eastAsia="zh-CN"/>
              </w:rPr>
            </w:pPr>
            <w:r>
              <w:rPr>
                <w:rFonts w:hint="eastAsia"/>
                <w:lang w:val="en-US" w:eastAsia="zh-CN"/>
              </w:rPr>
              <w:t>交货期限：3日；</w:t>
            </w:r>
          </w:p>
          <w:p>
            <w:pPr>
              <w:rPr>
                <w:rFonts w:hint="eastAsia"/>
                <w:lang w:val="en-US" w:eastAsia="zh-CN"/>
              </w:rPr>
            </w:pPr>
            <w:r>
              <w:rPr>
                <w:rFonts w:hint="eastAsia"/>
                <w:lang w:val="en-US" w:eastAsia="zh-CN"/>
              </w:rPr>
              <w:t>查合同有产品具体</w:t>
            </w:r>
            <w:r>
              <w:rPr>
                <w:rFonts w:hint="eastAsia"/>
              </w:rPr>
              <w:t>规格型号、数量</w:t>
            </w:r>
            <w:r>
              <w:rPr>
                <w:rFonts w:hint="eastAsia"/>
                <w:lang w:eastAsia="zh-CN"/>
              </w:rPr>
              <w:t>，</w:t>
            </w:r>
            <w:r>
              <w:rPr>
                <w:rFonts w:hint="eastAsia"/>
              </w:rPr>
              <w:t>技术要求</w:t>
            </w:r>
            <w:r>
              <w:rPr>
                <w:rFonts w:hint="eastAsia"/>
                <w:lang w:eastAsia="zh-CN"/>
              </w:rPr>
              <w:t>，</w:t>
            </w:r>
            <w:r>
              <w:rPr>
                <w:rFonts w:hint="eastAsia"/>
                <w:lang w:val="en-US" w:eastAsia="zh-CN"/>
              </w:rPr>
              <w:t>验收及验收依据，退换货说明，</w:t>
            </w:r>
            <w:r>
              <w:rPr>
                <w:rFonts w:hint="eastAsia"/>
              </w:rPr>
              <w:t>双方的责任和要求及义务</w:t>
            </w:r>
            <w:r>
              <w:rPr>
                <w:rFonts w:hint="eastAsia"/>
                <w:lang w:eastAsia="zh-CN"/>
              </w:rPr>
              <w:t>，</w:t>
            </w:r>
            <w:r>
              <w:rPr>
                <w:rFonts w:hint="eastAsia"/>
                <w:lang w:val="en-US" w:eastAsia="zh-CN"/>
              </w:rPr>
              <w:t>违约责任等；合同有双方签字盖章。</w:t>
            </w:r>
          </w:p>
          <w:p>
            <w:pPr>
              <w:rPr>
                <w:rFonts w:hint="eastAsia"/>
                <w:lang w:val="en-US" w:eastAsia="zh-CN"/>
              </w:rPr>
            </w:pPr>
            <w:r>
              <w:rPr>
                <w:rFonts w:hint="eastAsia"/>
                <w:lang w:val="en-US" w:eastAsia="zh-CN"/>
              </w:rPr>
              <w:t>另抽其他日期其他型号润滑油产品销售合同，均保留完好，合同有双方签字盖章。</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提供《合同</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订单</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lang w:eastAsia="zh-CN"/>
              </w:rPr>
              <w:t>评审表》，查上述合同的评审记录，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评审日期：</w:t>
            </w:r>
            <w:r>
              <w:rPr>
                <w:rFonts w:hint="eastAsia" w:ascii="Times New Roman" w:hAnsi="Times New Roman" w:eastAsia="宋体" w:cs="Times New Roman"/>
                <w:sz w:val="21"/>
                <w:szCs w:val="21"/>
                <w:lang w:val="en-US" w:eastAsia="zh-CN"/>
              </w:rPr>
              <w:t>均在合同签订之前</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评审内容包括</w:t>
            </w:r>
            <w:r>
              <w:rPr>
                <w:rFonts w:hint="eastAsia" w:ascii="Times New Roman" w:hAnsi="Times New Roman" w:cs="Times New Roman"/>
                <w:sz w:val="21"/>
                <w:szCs w:val="21"/>
                <w:lang w:val="en-US" w:eastAsia="zh-CN"/>
              </w:rPr>
              <w:t>技术要求、</w:t>
            </w:r>
            <w:r>
              <w:rPr>
                <w:rFonts w:hint="eastAsia" w:ascii="Times New Roman" w:hAnsi="Times New Roman" w:eastAsia="宋体" w:cs="Times New Roman"/>
                <w:sz w:val="21"/>
                <w:szCs w:val="21"/>
                <w:lang w:eastAsia="zh-CN"/>
              </w:rPr>
              <w:t>交货期限</w:t>
            </w:r>
            <w:r>
              <w:rPr>
                <w:rFonts w:hint="eastAsia" w:ascii="Times New Roman" w:hAnsi="Times New Roman" w:eastAsia="宋体" w:cs="Times New Roman"/>
                <w:sz w:val="21"/>
                <w:szCs w:val="21"/>
                <w:lang w:eastAsia="zh-CN"/>
              </w:rPr>
              <w:t>、价格、质量要求、交付要求、法规要求、</w:t>
            </w:r>
            <w:r>
              <w:rPr>
                <w:rFonts w:hint="eastAsia" w:ascii="Times New Roman" w:hAnsi="Times New Roman" w:eastAsia="宋体" w:cs="Times New Roman"/>
                <w:sz w:val="21"/>
                <w:szCs w:val="21"/>
                <w:lang w:val="en-US" w:eastAsia="zh-CN"/>
              </w:rPr>
              <w:t>物料供应能力等内容</w:t>
            </w:r>
            <w:r>
              <w:rPr>
                <w:rFonts w:hint="eastAsia" w:ascii="Times New Roman" w:hAnsi="Times New Roman" w:eastAsia="宋体" w:cs="Times New Roman"/>
                <w:sz w:val="21"/>
                <w:szCs w:val="21"/>
                <w:lang w:eastAsia="zh-CN"/>
              </w:rPr>
              <w:t>。评审结果：全部通过，</w:t>
            </w:r>
            <w:r>
              <w:rPr>
                <w:rFonts w:hint="eastAsia" w:ascii="Times New Roman" w:hAnsi="Times New Roman" w:eastAsia="宋体" w:cs="Times New Roman"/>
                <w:sz w:val="21"/>
                <w:szCs w:val="21"/>
                <w:lang w:val="en-US" w:eastAsia="zh-CN"/>
              </w:rPr>
              <w:t>可以签订</w:t>
            </w:r>
            <w:r>
              <w:rPr>
                <w:rFonts w:hint="eastAsia"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参与评审人员：王欢，王西海，张艳平。</w:t>
            </w:r>
          </w:p>
          <w:p>
            <w:pPr>
              <w:rPr>
                <w:rFonts w:hint="eastAsia"/>
              </w:rPr>
            </w:pPr>
            <w:r>
              <w:rPr>
                <w:rFonts w:hint="eastAsia" w:ascii="Times New Roman" w:hAnsi="Times New Roman" w:eastAsia="宋体" w:cs="Times New Roman"/>
                <w:sz w:val="21"/>
                <w:szCs w:val="21"/>
                <w:lang w:eastAsia="zh-CN"/>
              </w:rPr>
              <w:t>公司目前暂无合同更改情况。</w:t>
            </w:r>
          </w:p>
        </w:tc>
        <w:tc>
          <w:tcPr>
            <w:tcW w:w="319"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外部提供的过程、产品和服务的控制</w:t>
            </w:r>
          </w:p>
        </w:tc>
        <w:tc>
          <w:tcPr>
            <w:tcW w:w="35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Q8.4</w:t>
            </w:r>
          </w:p>
        </w:tc>
        <w:tc>
          <w:tcPr>
            <w:tcW w:w="3818"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采购物资主要是生产润滑油所需棕榈油、大豆油、金属防锈剂、棉油、包装桶等；办公室负责采购相关工作。</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执行</w:t>
            </w:r>
            <w:r>
              <w:rPr>
                <w:rFonts w:hint="eastAsia" w:ascii="宋体" w:hAnsi="宋体" w:eastAsia="宋体" w:cs="宋体"/>
                <w:sz w:val="21"/>
                <w:szCs w:val="21"/>
                <w:lang w:val="en-US" w:eastAsia="zh-CN"/>
              </w:rPr>
              <w:t>公司</w:t>
            </w:r>
            <w:r>
              <w:rPr>
                <w:rFonts w:hint="eastAsia" w:ascii="宋体" w:hAnsi="宋体" w:eastAsia="宋体" w:cs="宋体"/>
                <w:sz w:val="21"/>
                <w:szCs w:val="21"/>
                <w:lang w:eastAsia="zh-CN"/>
              </w:rPr>
              <w:t>《采购控制程序》，</w:t>
            </w:r>
            <w:r>
              <w:rPr>
                <w:rFonts w:hint="eastAsia" w:ascii="宋体" w:hAnsi="宋体" w:eastAsia="宋体" w:cs="宋体"/>
                <w:sz w:val="21"/>
                <w:szCs w:val="21"/>
                <w:lang w:val="en-US" w:eastAsia="zh-CN"/>
              </w:rPr>
              <w:t>程序</w:t>
            </w:r>
            <w:r>
              <w:rPr>
                <w:rFonts w:hint="eastAsia" w:ascii="宋体" w:hAnsi="宋体" w:eastAsia="宋体" w:cs="宋体"/>
                <w:sz w:val="21"/>
                <w:szCs w:val="21"/>
                <w:lang w:eastAsia="zh-CN"/>
              </w:rPr>
              <w:t>对采购计划中重要物资进行定期合格供方评价。经由总经理确认后，纳入公司合格供方。</w:t>
            </w:r>
          </w:p>
          <w:p>
            <w:pPr>
              <w:rPr>
                <w:rFonts w:hint="eastAsia"/>
                <w:lang w:val="en-US" w:eastAsia="zh-CN"/>
              </w:rPr>
            </w:pPr>
            <w:r>
              <w:rPr>
                <w:rFonts w:hint="eastAsia"/>
                <w:lang w:val="en-US" w:eastAsia="zh-CN"/>
              </w:rPr>
              <w:t>办公室负责定期对供方进行评价，一般每年一次。经总经理确认后，纳入公司合格供方。</w:t>
            </w:r>
          </w:p>
          <w:p>
            <w:pPr>
              <w:rPr>
                <w:rFonts w:hint="default" w:ascii="宋体" w:hAnsi="宋体" w:eastAsia="宋体" w:cs="宋体"/>
                <w:sz w:val="21"/>
                <w:szCs w:val="21"/>
                <w:lang w:val="en-US"/>
              </w:rPr>
            </w:pPr>
            <w:r>
              <w:rPr>
                <w:rFonts w:hint="eastAsia" w:ascii="宋体" w:hAnsi="宋体" w:eastAsia="宋体" w:cs="宋体"/>
                <w:sz w:val="21"/>
                <w:szCs w:val="21"/>
                <w:lang w:eastAsia="zh-CN"/>
              </w:rPr>
              <w:t>提供有《合格</w:t>
            </w:r>
            <w:r>
              <w:rPr>
                <w:rFonts w:hint="eastAsia" w:ascii="宋体" w:hAnsi="宋体" w:eastAsia="宋体" w:cs="宋体"/>
                <w:sz w:val="21"/>
                <w:szCs w:val="21"/>
              </w:rPr>
              <w:t>供方</w:t>
            </w:r>
            <w:r>
              <w:rPr>
                <w:rFonts w:hint="eastAsia" w:ascii="宋体" w:hAnsi="宋体" w:eastAsia="宋体" w:cs="宋体"/>
                <w:sz w:val="21"/>
                <w:szCs w:val="21"/>
                <w:lang w:val="en-US" w:eastAsia="zh-CN"/>
              </w:rPr>
              <w:t>名单</w:t>
            </w:r>
            <w:r>
              <w:rPr>
                <w:rFonts w:hint="eastAsia" w:ascii="宋体" w:hAnsi="宋体" w:eastAsia="宋体" w:cs="宋体"/>
                <w:sz w:val="21"/>
                <w:szCs w:val="21"/>
              </w:rPr>
              <w:t>》，批准</w:t>
            </w:r>
            <w:r>
              <w:rPr>
                <w:rFonts w:hint="eastAsia" w:ascii="宋体" w:hAnsi="宋体" w:eastAsia="宋体" w:cs="宋体"/>
                <w:sz w:val="21"/>
                <w:szCs w:val="21"/>
                <w:lang w:val="en-US" w:eastAsia="zh-CN"/>
              </w:rPr>
              <w:t>人：张艳平，2022.9.1。</w:t>
            </w:r>
          </w:p>
          <w:p>
            <w:pPr>
              <w:rPr>
                <w:rFonts w:hint="eastAsia" w:ascii="宋体" w:hAnsi="宋体" w:eastAsia="宋体" w:cs="宋体"/>
                <w:sz w:val="21"/>
                <w:szCs w:val="21"/>
              </w:rPr>
            </w:pPr>
            <w:r>
              <w:rPr>
                <w:rFonts w:hint="eastAsia" w:ascii="宋体" w:hAnsi="宋体" w:eastAsia="宋体" w:cs="宋体"/>
                <w:sz w:val="21"/>
                <w:szCs w:val="21"/>
              </w:rPr>
              <w:t xml:space="preserve">合格供方名称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供应产品名称</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阿拉尔市瑞利恒生物蛋白有限公司</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lang w:val="en-US" w:eastAsia="zh-CN"/>
              </w:rPr>
              <w:t>棕榈油</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路易达孚（天津）食品科技有限责任公司</w:t>
            </w:r>
            <w:r>
              <w:rPr>
                <w:rFonts w:hint="eastAsia" w:ascii="宋体" w:hAnsi="宋体" w:eastAsia="宋体" w:cs="宋体"/>
                <w:sz w:val="21"/>
                <w:szCs w:val="21"/>
                <w:lang w:val="en-US" w:eastAsia="zh-CN"/>
              </w:rPr>
              <w:t xml:space="preserve">        大豆油      </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新乡市瑞丰新材料股份有限公司</w:t>
            </w:r>
            <w:r>
              <w:rPr>
                <w:rFonts w:hint="eastAsia" w:ascii="宋体" w:hAnsi="宋体" w:eastAsia="宋体" w:cs="宋体"/>
                <w:sz w:val="21"/>
                <w:szCs w:val="21"/>
                <w:lang w:val="en-US" w:eastAsia="zh-CN"/>
              </w:rPr>
              <w:t xml:space="preserve">                低碱值合成磺酸钙</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江苏紫荆华美实业有限公司</w:t>
            </w:r>
            <w:r>
              <w:rPr>
                <w:rFonts w:hint="eastAsia" w:ascii="宋体" w:hAnsi="宋体" w:eastAsia="宋体" w:cs="宋体"/>
                <w:sz w:val="21"/>
                <w:szCs w:val="21"/>
                <w:lang w:val="en-US" w:eastAsia="zh-CN"/>
              </w:rPr>
              <w:t xml:space="preserve">                    脂肪酸甲酯            </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海珥玛（广州）销售有限公司</w:t>
            </w:r>
            <w:r>
              <w:rPr>
                <w:rFonts w:hint="eastAsia" w:ascii="宋体" w:hAnsi="宋体" w:eastAsia="宋体" w:cs="宋体"/>
                <w:sz w:val="21"/>
                <w:szCs w:val="21"/>
                <w:lang w:val="en-US" w:eastAsia="zh-CN"/>
              </w:rPr>
              <w:t xml:space="preserve">                   金属防锈剂</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巴州方顺油脂有限公司</w:t>
            </w:r>
            <w:r>
              <w:rPr>
                <w:rFonts w:hint="eastAsia" w:ascii="宋体" w:hAnsi="宋体" w:eastAsia="宋体" w:cs="宋体"/>
                <w:sz w:val="21"/>
                <w:szCs w:val="21"/>
                <w:lang w:val="en-US" w:eastAsia="zh-CN"/>
              </w:rPr>
              <w:t xml:space="preserve">                         棉油</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按程序要求进行了年度确认，提供有《供方评定记录表》，查以上供方均进行了确认，评价内容包括：产品使用结果，供应能力，技术能力，供方资质，产品质量等方面；评定结论：均可列入合格供方名录。确认时间：2022.9.1。</w:t>
            </w:r>
          </w:p>
          <w:p>
            <w:pPr>
              <w:rPr>
                <w:rFonts w:hint="eastAsia" w:ascii="宋体" w:hAnsi="宋体" w:eastAsia="宋体" w:cs="宋体"/>
                <w:sz w:val="21"/>
                <w:szCs w:val="21"/>
              </w:rPr>
            </w:pPr>
            <w:r>
              <w:rPr>
                <w:rFonts w:hint="eastAsia" w:ascii="宋体" w:hAnsi="宋体" w:eastAsia="宋体" w:cs="宋体"/>
                <w:sz w:val="21"/>
                <w:szCs w:val="21"/>
              </w:rPr>
              <w:t>本公司需求物资的采购信息由</w:t>
            </w:r>
            <w:r>
              <w:rPr>
                <w:rFonts w:hint="eastAsia" w:ascii="宋体" w:hAnsi="宋体" w:eastAsia="宋体" w:cs="宋体"/>
                <w:sz w:val="21"/>
                <w:szCs w:val="21"/>
                <w:lang w:val="en-US" w:eastAsia="zh-CN"/>
              </w:rPr>
              <w:t>办公室</w:t>
            </w:r>
            <w:r>
              <w:rPr>
                <w:rFonts w:hint="eastAsia" w:ascii="宋体" w:hAnsi="宋体" w:eastAsia="宋体" w:cs="宋体"/>
                <w:sz w:val="21"/>
                <w:szCs w:val="21"/>
              </w:rPr>
              <w:t>负责，通过签订书面采购</w:t>
            </w:r>
            <w:r>
              <w:rPr>
                <w:rFonts w:hint="eastAsia" w:ascii="宋体" w:hAnsi="宋体" w:eastAsia="宋体" w:cs="宋体"/>
                <w:sz w:val="21"/>
                <w:szCs w:val="21"/>
                <w:lang w:val="en-US" w:eastAsia="zh-CN"/>
              </w:rPr>
              <w:t>合同或订单</w:t>
            </w:r>
            <w:r>
              <w:rPr>
                <w:rFonts w:hint="eastAsia" w:ascii="宋体" w:hAnsi="宋体" w:eastAsia="宋体" w:cs="宋体"/>
                <w:sz w:val="21"/>
                <w:szCs w:val="21"/>
              </w:rPr>
              <w:t>方式向合格供方进行产品采购。</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抽202</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年</w:t>
            </w:r>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月</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日采购合同，</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卖方：夏津县</w:t>
            </w:r>
            <w:r>
              <w:rPr>
                <w:rFonts w:hint="eastAsia" w:ascii="Times New Roman" w:hAnsi="Times New Roman" w:cs="Times New Roman"/>
                <w:lang w:val="en-US" w:eastAsia="zh-CN"/>
              </w:rPr>
              <w:t>俞</w:t>
            </w:r>
            <w:r>
              <w:rPr>
                <w:rFonts w:hint="eastAsia" w:ascii="Times New Roman" w:hAnsi="Times New Roman" w:eastAsia="宋体" w:cs="Times New Roman"/>
                <w:lang w:val="en-US" w:eastAsia="zh-CN"/>
              </w:rPr>
              <w:t>北油脂有限公司</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买方：</w:t>
            </w:r>
            <w:r>
              <w:rPr>
                <w:rFonts w:hint="eastAsia" w:ascii="Times New Roman" w:hAnsi="Times New Roman" w:cs="Times New Roman"/>
                <w:lang w:val="en-US" w:eastAsia="zh-CN"/>
              </w:rPr>
              <w:t>沧州市亿达渤润石化有限公司</w:t>
            </w:r>
          </w:p>
          <w:p>
            <w:pPr>
              <w:rPr>
                <w:rFonts w:hint="eastAsia" w:ascii="宋体" w:hAnsi="宋体" w:eastAsia="宋体" w:cs="宋体"/>
                <w:sz w:val="21"/>
                <w:szCs w:val="21"/>
                <w:lang w:val="en-US" w:eastAsia="zh-CN"/>
              </w:rPr>
            </w:pPr>
            <w:r>
              <w:rPr>
                <w:rFonts w:hint="eastAsia" w:ascii="Times New Roman" w:hAnsi="Times New Roman" w:cs="Times New Roman"/>
                <w:sz w:val="21"/>
                <w:szCs w:val="21"/>
                <w:lang w:val="en-US" w:eastAsia="zh-CN"/>
              </w:rPr>
              <w:t>产</w:t>
            </w:r>
            <w:r>
              <w:rPr>
                <w:rFonts w:hint="eastAsia" w:ascii="宋体" w:hAnsi="宋体" w:eastAsia="宋体" w:cs="宋体"/>
                <w:sz w:val="21"/>
                <w:szCs w:val="21"/>
                <w:lang w:val="en-US" w:eastAsia="zh-CN"/>
              </w:rPr>
              <w:t>品：三级棉籽油  33吨</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另查巴州方顺油脂有限公司  棉油采购合同，阿拉尔市瑞利恒生物蛋白有限公司棕榈油采购合同等，合同明确有产品型号规格，数量，质量要求，产品均从合格供方处采购。</w:t>
            </w:r>
          </w:p>
          <w:p>
            <w:pPr>
              <w:rPr>
                <w:rFonts w:hint="eastAsia" w:ascii="宋体" w:hAnsi="宋体" w:eastAsia="宋体" w:cs="宋体"/>
                <w:sz w:val="21"/>
                <w:szCs w:val="21"/>
              </w:rPr>
            </w:pPr>
            <w:r>
              <w:rPr>
                <w:rFonts w:hint="eastAsia" w:ascii="宋体" w:hAnsi="宋体" w:eastAsia="宋体" w:cs="宋体"/>
                <w:sz w:val="21"/>
                <w:szCs w:val="21"/>
                <w:lang w:val="en-US" w:eastAsia="zh-CN"/>
              </w:rPr>
              <w:t>原辅料、包装等进场检验及验收见Q8.6。</w:t>
            </w:r>
          </w:p>
        </w:tc>
        <w:tc>
          <w:tcPr>
            <w:tcW w:w="319"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交付后活动</w:t>
            </w:r>
          </w:p>
        </w:tc>
        <w:tc>
          <w:tcPr>
            <w:tcW w:w="35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Q8.5.5</w:t>
            </w:r>
          </w:p>
        </w:tc>
        <w:tc>
          <w:tcPr>
            <w:tcW w:w="3818"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查销售现场产品交付情况：产品</w:t>
            </w:r>
            <w:r>
              <w:rPr>
                <w:rFonts w:hint="eastAsia" w:ascii="宋体" w:hAnsi="宋体" w:eastAsia="宋体" w:cs="宋体"/>
                <w:sz w:val="21"/>
                <w:szCs w:val="21"/>
                <w:lang w:val="en-US" w:eastAsia="zh-CN"/>
              </w:rPr>
              <w:t>交由有资质的运输公司</w:t>
            </w:r>
            <w:r>
              <w:rPr>
                <w:rFonts w:hint="eastAsia" w:ascii="宋体" w:hAnsi="宋体" w:eastAsia="宋体" w:cs="宋体"/>
                <w:sz w:val="21"/>
                <w:szCs w:val="21"/>
              </w:rPr>
              <w:t>交付至客户处，客户签收，公司通过电话跟踪沟通及定期拜访、客户满意度调查等方式确认交付及交付后服务的满意程度。</w:t>
            </w:r>
          </w:p>
          <w:p>
            <w:pPr>
              <w:rPr>
                <w:rFonts w:hint="eastAsia" w:ascii="宋体" w:hAnsi="宋体" w:eastAsia="宋体" w:cs="宋体"/>
                <w:sz w:val="21"/>
                <w:szCs w:val="21"/>
                <w:lang w:val="en-US" w:eastAsia="zh-CN"/>
              </w:rPr>
            </w:pPr>
            <w:r>
              <w:rPr>
                <w:rFonts w:hint="eastAsia" w:ascii="宋体" w:hAnsi="宋体" w:eastAsia="宋体" w:cs="宋体"/>
                <w:sz w:val="21"/>
                <w:szCs w:val="21"/>
              </w:rPr>
              <w:t>经查符合要求。</w:t>
            </w:r>
          </w:p>
        </w:tc>
        <w:tc>
          <w:tcPr>
            <w:tcW w:w="319"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监视、测量</w:t>
            </w:r>
          </w:p>
        </w:tc>
        <w:tc>
          <w:tcPr>
            <w:tcW w:w="355"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Q9.1.1</w:t>
            </w:r>
          </w:p>
        </w:tc>
        <w:tc>
          <w:tcPr>
            <w:tcW w:w="3818" w:type="pct"/>
            <w:noWrap w:val="0"/>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执行公司《监测与测量控制程序YDBR-PD20》。</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组织策划了对绩效的监视和测量，对绩效的分析和评价，对事项进行汇报的程序等。保留了必要的记录文件。</w:t>
            </w:r>
          </w:p>
          <w:p>
            <w:pPr>
              <w:rPr>
                <w:rFonts w:hint="default" w:ascii="宋体" w:hAnsi="宋体" w:eastAsia="宋体" w:cs="宋体"/>
                <w:sz w:val="21"/>
                <w:szCs w:val="21"/>
                <w:lang w:val="en-US"/>
              </w:rPr>
            </w:pPr>
            <w:r>
              <w:rPr>
                <w:rFonts w:hint="eastAsia" w:ascii="Times New Roman" w:hAnsi="Times New Roman" w:eastAsia="宋体" w:cs="Times New Roman"/>
                <w:sz w:val="21"/>
                <w:szCs w:val="21"/>
                <w:lang w:eastAsia="zh-CN"/>
              </w:rPr>
              <w:t>公司通过管理评审和内部审核，以及定期的目标考核，对发现的问题采取纠正和必要的纠正措施，确保管理体系绩效和有效性。</w:t>
            </w:r>
            <w:r>
              <w:rPr>
                <w:rFonts w:hint="eastAsia" w:ascii="Times New Roman" w:hAnsi="Times New Roman" w:cs="Times New Roman"/>
                <w:sz w:val="21"/>
                <w:szCs w:val="21"/>
                <w:lang w:val="en-US" w:eastAsia="zh-CN"/>
              </w:rPr>
              <w:t>具体见6.2/9.2/9.3审核记录。</w:t>
            </w:r>
          </w:p>
        </w:tc>
        <w:tc>
          <w:tcPr>
            <w:tcW w:w="319" w:type="pct"/>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顾客满意度</w:t>
            </w:r>
          </w:p>
        </w:tc>
        <w:tc>
          <w:tcPr>
            <w:tcW w:w="35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Q9.1.2</w:t>
            </w:r>
          </w:p>
        </w:tc>
        <w:tc>
          <w:tcPr>
            <w:tcW w:w="3818" w:type="pct"/>
            <w:noWrap w:val="0"/>
            <w:vAlign w:val="center"/>
          </w:tcPr>
          <w:p>
            <w:pPr>
              <w:rPr>
                <w:rFonts w:hint="eastAsia" w:ascii="Times New Roman" w:hAnsi="Times New Roman" w:eastAsia="宋体" w:cs="Times New Roman"/>
                <w:sz w:val="21"/>
                <w:szCs w:val="21"/>
                <w:lang w:val="zh-CN" w:eastAsia="zh-CN"/>
              </w:rPr>
            </w:pPr>
            <w:r>
              <w:rPr>
                <w:rFonts w:hint="eastAsia" w:ascii="宋体" w:hAnsi="宋体" w:eastAsia="宋体" w:cs="宋体"/>
                <w:sz w:val="21"/>
                <w:szCs w:val="21"/>
                <w:lang w:val="en-US" w:eastAsia="zh-CN"/>
              </w:rPr>
              <w:t>●执行公司</w:t>
            </w:r>
            <w:r>
              <w:rPr>
                <w:rFonts w:hint="eastAsia" w:ascii="Times New Roman" w:hAnsi="Times New Roman" w:eastAsia="宋体" w:cs="Times New Roman"/>
                <w:sz w:val="21"/>
                <w:szCs w:val="21"/>
                <w:lang w:val="en-US" w:eastAsia="zh-CN"/>
              </w:rPr>
              <w:t>《顾客投诉处理与满意度调查控制程序YDBR-PD17》。</w:t>
            </w:r>
            <w:r>
              <w:rPr>
                <w:rFonts w:hint="eastAsia" w:ascii="Times New Roman" w:hAnsi="Times New Roman" w:eastAsia="宋体" w:cs="Times New Roman"/>
                <w:sz w:val="21"/>
                <w:szCs w:val="21"/>
                <w:lang w:val="zh-CN" w:eastAsia="zh-CN"/>
              </w:rPr>
              <w:t>公司通过电话，走访等形式，接受顾客反馈，了解顾客顾客满意度信息，发放调查表对顾客满意度进行定量测量。</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每年第四季度，办公室向顾客发送《顾客满意度调查表》，调查顾客对公司产品、服务的满意程度，收集相关意见和建议；调查表的</w:t>
            </w:r>
            <w:r>
              <w:rPr>
                <w:rFonts w:hint="eastAsia" w:ascii="Times New Roman" w:hAnsi="Times New Roman" w:eastAsia="宋体" w:cs="Times New Roman"/>
                <w:sz w:val="21"/>
                <w:szCs w:val="21"/>
                <w:lang w:val="zh-CN" w:eastAsia="zh-CN"/>
              </w:rPr>
              <w:t>回收率应争取达到80%以上，视为本次调查有效。</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经查，办公室2022年12月份开展了顾客满意度调查工作。</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提供“顾客满意程度调查表”</w:t>
            </w:r>
            <w:r>
              <w:rPr>
                <w:rFonts w:hint="eastAsia" w:ascii="Times New Roman" w:hAnsi="Times New Roman" w:eastAsia="宋体" w:cs="Times New Roman"/>
                <w:sz w:val="21"/>
                <w:szCs w:val="21"/>
                <w:lang w:val="en-US" w:eastAsia="zh-CN"/>
              </w:rPr>
              <w:t>10份，回收10份</w:t>
            </w:r>
            <w:r>
              <w:rPr>
                <w:rFonts w:hint="eastAsia" w:ascii="Times New Roman" w:hAnsi="Times New Roman" w:eastAsia="宋体" w:cs="Times New Roman"/>
                <w:sz w:val="21"/>
                <w:szCs w:val="21"/>
                <w:lang w:val="zh-CN" w:eastAsia="zh-CN"/>
              </w:rPr>
              <w:t>，</w:t>
            </w:r>
            <w:r>
              <w:rPr>
                <w:rFonts w:hint="eastAsia" w:ascii="Times New Roman" w:hAnsi="Times New Roman" w:eastAsia="宋体" w:cs="Times New Roman"/>
                <w:sz w:val="21"/>
                <w:szCs w:val="21"/>
                <w:lang w:val="en-US" w:eastAsia="zh-CN"/>
              </w:rPr>
              <w:t>调查对象包括“杭州清润科技有限公司”“东莞市博斯润滑油有限公司”等客户，</w:t>
            </w:r>
            <w:r>
              <w:rPr>
                <w:rFonts w:hint="eastAsia" w:ascii="Times New Roman" w:hAnsi="Times New Roman" w:eastAsia="宋体" w:cs="Times New Roman"/>
                <w:sz w:val="21"/>
                <w:szCs w:val="21"/>
                <w:lang w:val="zh-CN" w:eastAsia="zh-CN"/>
              </w:rPr>
              <w:t>调查主要内容：质量</w:t>
            </w:r>
            <w:r>
              <w:rPr>
                <w:rFonts w:hint="eastAsia" w:ascii="Times New Roman" w:hAnsi="Times New Roman" w:eastAsia="宋体" w:cs="Times New Roman"/>
                <w:sz w:val="21"/>
                <w:szCs w:val="21"/>
                <w:lang w:val="en-US" w:eastAsia="zh-CN"/>
              </w:rPr>
              <w:t>、价格、服务态度</w:t>
            </w:r>
            <w:r>
              <w:rPr>
                <w:rFonts w:hint="eastAsia" w:ascii="Times New Roman" w:hAnsi="Times New Roman" w:eastAsia="宋体" w:cs="Times New Roman"/>
                <w:sz w:val="21"/>
                <w:szCs w:val="21"/>
                <w:lang w:val="zh-CN" w:eastAsia="zh-CN"/>
              </w:rPr>
              <w:t>等方面的满意程度</w:t>
            </w:r>
            <w:r>
              <w:rPr>
                <w:rFonts w:hint="eastAsia" w:ascii="Times New Roman" w:hAnsi="Times New Roman" w:eastAsia="宋体" w:cs="Times New Roman"/>
                <w:sz w:val="21"/>
                <w:szCs w:val="21"/>
                <w:lang w:val="zh-CN" w:eastAsia="zh-CN"/>
              </w:rPr>
              <w:t>等，各项得分求平均值得最终结果</w:t>
            </w:r>
            <w:r>
              <w:rPr>
                <w:rFonts w:hint="eastAsia" w:ascii="Times New Roman" w:hAnsi="Times New Roman" w:eastAsia="宋体" w:cs="Times New Roman"/>
                <w:sz w:val="21"/>
                <w:szCs w:val="21"/>
                <w:lang w:val="zh-CN" w:eastAsia="zh-CN"/>
              </w:rPr>
              <w:t>。</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对调查结果进行汇总，提供有《顾客满意度调查分析报告》，</w:t>
            </w:r>
            <w:r>
              <w:rPr>
                <w:rFonts w:hint="eastAsia" w:ascii="Times New Roman" w:hAnsi="Times New Roman" w:eastAsia="宋体" w:cs="Times New Roman"/>
                <w:sz w:val="21"/>
                <w:szCs w:val="21"/>
                <w:lang w:val="zh-CN" w:eastAsia="zh-CN"/>
              </w:rPr>
              <w:t>最终顾客满意率9</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zh-CN"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对本次调查情况进行了总结，对客户提出的关于价格、态度等方面的问题和建议，提出了改进方式。</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报告人：王欢，批准：张艳平。</w:t>
            </w:r>
          </w:p>
          <w:p>
            <w:pPr>
              <w:rPr>
                <w:rFonts w:hint="eastAsia" w:ascii="宋体" w:hAnsi="宋体" w:eastAsia="宋体" w:cs="宋体"/>
                <w:sz w:val="21"/>
                <w:szCs w:val="21"/>
              </w:rPr>
            </w:pPr>
            <w:r>
              <w:rPr>
                <w:rFonts w:hint="eastAsia" w:ascii="Times New Roman" w:hAnsi="Times New Roman" w:eastAsia="宋体" w:cs="Times New Roman"/>
                <w:sz w:val="21"/>
                <w:szCs w:val="21"/>
                <w:lang w:val="zh-CN" w:eastAsia="zh-CN"/>
              </w:rPr>
              <w:t>该结果已提交管理评审。</w:t>
            </w:r>
          </w:p>
        </w:tc>
        <w:tc>
          <w:tcPr>
            <w:tcW w:w="319" w:type="pct"/>
            <w:noWrap w:val="0"/>
            <w:vAlign w:val="top"/>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07" w:type="pct"/>
            <w:noWrap w:val="0"/>
            <w:vAlign w:val="center"/>
          </w:tcPr>
          <w:p>
            <w:pPr>
              <w:rPr>
                <w:rFonts w:hint="default" w:ascii="Times New Roman" w:hAnsi="Times New Roman" w:eastAsia="宋体" w:cs="Times New Roman"/>
                <w:kern w:val="2"/>
                <w:sz w:val="21"/>
                <w:lang w:val="en-US" w:eastAsia="zh-CN" w:bidi="ar-SA"/>
              </w:rPr>
            </w:pPr>
            <w:r>
              <w:rPr>
                <w:rFonts w:hint="eastAsia"/>
                <w:szCs w:val="21"/>
              </w:rPr>
              <w:t>内部审核</w:t>
            </w:r>
          </w:p>
        </w:tc>
        <w:tc>
          <w:tcPr>
            <w:tcW w:w="355" w:type="pct"/>
            <w:noWrap w:val="0"/>
            <w:vAlign w:val="center"/>
          </w:tcPr>
          <w:p>
            <w:pPr>
              <w:rPr>
                <w:szCs w:val="21"/>
              </w:rPr>
            </w:pPr>
            <w:r>
              <w:rPr>
                <w:rFonts w:hint="eastAsia"/>
                <w:szCs w:val="21"/>
              </w:rPr>
              <w:t>QE9.2</w:t>
            </w:r>
          </w:p>
          <w:p>
            <w:pPr>
              <w:rPr>
                <w:rFonts w:hint="default" w:ascii="Times New Roman" w:hAnsi="Times New Roman" w:eastAsia="宋体" w:cs="Times New Roman"/>
                <w:kern w:val="2"/>
                <w:sz w:val="21"/>
                <w:lang w:val="en-US" w:eastAsia="zh-CN" w:bidi="ar-SA"/>
              </w:rPr>
            </w:pPr>
          </w:p>
        </w:tc>
        <w:tc>
          <w:tcPr>
            <w:tcW w:w="3818" w:type="pct"/>
            <w:noWrap w:val="0"/>
            <w:vAlign w:val="center"/>
          </w:tcPr>
          <w:p>
            <w:pPr>
              <w:rPr>
                <w:rFonts w:hint="default" w:ascii="Times New Roman" w:hAnsi="Times New Roman" w:eastAsia="宋体" w:cs="Times New Roman"/>
                <w:lang w:val="en-US" w:eastAsia="zh-CN"/>
              </w:rPr>
            </w:pPr>
            <w:r>
              <w:rPr>
                <w:rFonts w:hint="eastAsia"/>
                <w:lang w:val="en-US" w:eastAsia="zh-CN"/>
              </w:rPr>
              <w:t>●仍执行公司《内审控制程序》。程序要求：</w:t>
            </w:r>
            <w:r>
              <w:rPr>
                <w:rFonts w:hint="eastAsia"/>
              </w:rPr>
              <w:t>每年内审至少一次，并要求覆盖本公司</w:t>
            </w:r>
            <w:r>
              <w:rPr>
                <w:rFonts w:hint="eastAsia"/>
                <w:lang w:val="en-US" w:eastAsia="zh-CN"/>
              </w:rPr>
              <w:t>质量、</w:t>
            </w:r>
            <w:r>
              <w:rPr>
                <w:rFonts w:hint="eastAsia"/>
              </w:rPr>
              <w:t>环境管理体系所有要求的内容。</w:t>
            </w:r>
            <w:r>
              <w:rPr>
                <w:rFonts w:hint="eastAsia" w:ascii="Times New Roman" w:hAnsi="Times New Roman" w:eastAsia="宋体" w:cs="Times New Roman"/>
                <w:lang w:val="en-US" w:eastAsia="zh-CN"/>
              </w:rPr>
              <w:t>查企业2022年度按程序要求策划并开展了内部审核。提供有以下资料：</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1、查有关于体系内审员任命的决定，内审员王欢，王西海。内审员经过培训。</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2、查有《2022年度内审计划》，对本次审核日程安排做了详细计划，另有审核目的，范围，依据等内容。</w:t>
            </w:r>
          </w:p>
          <w:p>
            <w:pPr>
              <w:rPr>
                <w:rFonts w:hint="eastAsia"/>
              </w:rPr>
            </w:pPr>
            <w:r>
              <w:rPr>
                <w:rFonts w:hint="eastAsia" w:ascii="Times New Roman" w:hAnsi="Times New Roman" w:eastAsia="宋体" w:cs="Times New Roman"/>
                <w:lang w:val="en-US" w:eastAsia="zh-CN"/>
              </w:rPr>
              <w:t>有《内部审核实施计划》，编制：王欢，批准</w:t>
            </w:r>
            <w:r>
              <w:rPr>
                <w:rFonts w:hint="eastAsia"/>
              </w:rPr>
              <w:t>：</w:t>
            </w:r>
            <w:r>
              <w:rPr>
                <w:rFonts w:hint="eastAsia"/>
                <w:lang w:val="en-US" w:eastAsia="zh-CN"/>
              </w:rPr>
              <w:t>张艳平</w:t>
            </w:r>
            <w:r>
              <w:rPr>
                <w:rFonts w:hint="eastAsia"/>
              </w:rPr>
              <w:t>。</w:t>
            </w:r>
            <w:r>
              <w:rPr>
                <w:rFonts w:hint="eastAsia"/>
                <w:lang w:val="en-US" w:eastAsia="zh-CN"/>
              </w:rPr>
              <w:t>2022.12.5。查看日程安排，有审核员条款分配等具体内容，</w:t>
            </w:r>
            <w:r>
              <w:rPr>
                <w:rFonts w:hint="eastAsia"/>
              </w:rPr>
              <w:t>计划中没有漏标准条款、没有遗漏体系覆盖的部门和场所，内审员没有审核自己的工作。</w:t>
            </w:r>
          </w:p>
          <w:p>
            <w:pPr>
              <w:rPr>
                <w:rFonts w:hint="eastAsia"/>
              </w:rPr>
            </w:pPr>
            <w:r>
              <w:rPr>
                <w:rFonts w:hint="eastAsia"/>
                <w:lang w:val="en-US" w:eastAsia="zh-CN"/>
              </w:rPr>
              <w:t>3、提供了</w:t>
            </w:r>
            <w:r>
              <w:rPr>
                <w:rFonts w:hint="eastAsia"/>
              </w:rPr>
              <w:t>内审首末次会议签到（领导层、各部门负责人）；</w:t>
            </w:r>
          </w:p>
          <w:p>
            <w:pPr>
              <w:rPr>
                <w:rFonts w:hint="eastAsia"/>
              </w:rPr>
            </w:pPr>
            <w:r>
              <w:rPr>
                <w:rFonts w:hint="eastAsia"/>
                <w:lang w:val="en-US" w:eastAsia="zh-CN"/>
              </w:rPr>
              <w:t>提供了</w:t>
            </w:r>
            <w:r>
              <w:rPr>
                <w:rFonts w:hint="eastAsia"/>
              </w:rPr>
              <w:t>内部审核检查表，审核按计划进行，没有遗漏标准条款及体系覆盖的部门和场所，内审员没有审核自己的工作。</w:t>
            </w:r>
          </w:p>
          <w:p>
            <w:pPr>
              <w:numPr>
                <w:ilvl w:val="0"/>
                <w:numId w:val="4"/>
              </w:numPr>
              <w:rPr>
                <w:rFonts w:hint="eastAsia"/>
                <w:lang w:eastAsia="zh-CN"/>
              </w:rPr>
            </w:pPr>
            <w:r>
              <w:rPr>
                <w:rFonts w:hint="eastAsia"/>
              </w:rPr>
              <w:t>本次内审发现</w:t>
            </w:r>
            <w:r>
              <w:rPr>
                <w:rFonts w:hint="eastAsia"/>
                <w:lang w:val="en-US" w:eastAsia="zh-CN"/>
              </w:rPr>
              <w:t>1</w:t>
            </w:r>
            <w:r>
              <w:rPr>
                <w:rFonts w:hint="eastAsia"/>
              </w:rPr>
              <w:t>项不合格，</w:t>
            </w:r>
            <w:r>
              <w:rPr>
                <w:rFonts w:hint="eastAsia"/>
                <w:lang w:val="en-US" w:eastAsia="zh-CN"/>
              </w:rPr>
              <w:t>发生在办公室（QEO7.2条款，未提供2022年11月策划的关于“相关环境、职业健康安全相应法律法规及其他要求的培训”记录），</w:t>
            </w:r>
            <w:r>
              <w:rPr>
                <w:rFonts w:hint="eastAsia"/>
              </w:rPr>
              <w:t>为一般不符合项，</w:t>
            </w:r>
            <w:r>
              <w:rPr>
                <w:rFonts w:hint="eastAsia"/>
                <w:lang w:val="en-US" w:eastAsia="zh-CN"/>
              </w:rPr>
              <w:t>编制了</w:t>
            </w:r>
            <w:r>
              <w:rPr>
                <w:rFonts w:hint="eastAsia"/>
              </w:rPr>
              <w:t>《不符合报告》，不符合事实描述清晰，不符合原因分析准确，并制定了纠正及纠正预防措施，且措施可行，</w:t>
            </w:r>
            <w:r>
              <w:rPr>
                <w:rFonts w:hint="eastAsia"/>
                <w:lang w:val="en-US" w:eastAsia="zh-CN"/>
              </w:rPr>
              <w:t>内审员</w:t>
            </w:r>
            <w:r>
              <w:rPr>
                <w:rFonts w:hint="eastAsia"/>
              </w:rPr>
              <w:t>并对其有效性进行了验证</w:t>
            </w:r>
            <w:r>
              <w:rPr>
                <w:rFonts w:hint="eastAsia"/>
                <w:lang w:eastAsia="zh-CN"/>
              </w:rPr>
              <w:t>。</w:t>
            </w:r>
          </w:p>
          <w:p>
            <w:pPr>
              <w:numPr>
                <w:ilvl w:val="0"/>
                <w:numId w:val="4"/>
              </w:numPr>
              <w:rPr>
                <w:rFonts w:hint="eastAsia"/>
              </w:rPr>
            </w:pPr>
            <w:r>
              <w:rPr>
                <w:rFonts w:hint="eastAsia"/>
              </w:rPr>
              <w:t>本次内审编制有《内部管理体系审核报告》，对内审进行了综述和体系运行情况的评价，对纠正措施提出整改的要求。</w:t>
            </w:r>
          </w:p>
          <w:p>
            <w:pPr>
              <w:rPr>
                <w:rFonts w:hint="default"/>
                <w:lang w:val="en-US" w:eastAsia="zh-CN"/>
              </w:rPr>
            </w:pPr>
            <w:r>
              <w:rPr>
                <w:rFonts w:hint="eastAsia"/>
                <w:lang w:val="en-US" w:eastAsia="zh-CN"/>
              </w:rPr>
              <w:t>内审</w:t>
            </w:r>
            <w:r>
              <w:rPr>
                <w:rFonts w:hint="eastAsia"/>
              </w:rPr>
              <w:t>结论：</w:t>
            </w:r>
            <w:r>
              <w:rPr>
                <w:rFonts w:hint="eastAsia"/>
                <w:lang w:val="en-US" w:eastAsia="zh-CN"/>
              </w:rPr>
              <w:t>在不符合项采取了纠正措施并验证其有效性后，本公司质量、环境和职业健康安全管理体系的有效性、适宜性和复合型将有所提高，质量、环境、职业健康安全管理体系文件得到了有效的实施和保持。</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 w:val="21"/>
                <w:szCs w:val="21"/>
              </w:rPr>
              <w:t>经查问：总经理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办公室主任</w:t>
            </w:r>
            <w:r>
              <w:rPr>
                <w:rFonts w:hint="eastAsia" w:ascii="Times New Roman" w:hAnsi="Times New Roman" w:eastAsia="宋体" w:cs="Times New Roman"/>
                <w:sz w:val="21"/>
                <w:szCs w:val="21"/>
              </w:rPr>
              <w:t>均经参加了内部审核。</w:t>
            </w:r>
          </w:p>
        </w:tc>
        <w:tc>
          <w:tcPr>
            <w:tcW w:w="319" w:type="pct"/>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07"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355" w:type="pct"/>
            <w:noWrap w:val="0"/>
            <w:vAlign w:val="center"/>
          </w:tcPr>
          <w:p>
            <w:pPr>
              <w:rPr>
                <w:szCs w:val="21"/>
              </w:rPr>
            </w:pPr>
            <w:r>
              <w:rPr>
                <w:rFonts w:hint="eastAsia"/>
                <w:szCs w:val="21"/>
              </w:rPr>
              <w:t>Q</w:t>
            </w:r>
            <w:r>
              <w:rPr>
                <w:szCs w:val="21"/>
              </w:rPr>
              <w:t>E10.2</w:t>
            </w:r>
          </w:p>
          <w:p>
            <w:pPr>
              <w:rPr>
                <w:rFonts w:hint="default" w:ascii="Times New Roman" w:hAnsi="Times New Roman" w:eastAsia="宋体" w:cs="Times New Roman"/>
                <w:kern w:val="2"/>
                <w:sz w:val="21"/>
                <w:szCs w:val="21"/>
                <w:lang w:val="en-US" w:eastAsia="zh-CN" w:bidi="ar-SA"/>
              </w:rPr>
            </w:pPr>
          </w:p>
        </w:tc>
        <w:tc>
          <w:tcPr>
            <w:tcW w:w="3818" w:type="pct"/>
            <w:noWrap w:val="0"/>
            <w:vAlign w:val="center"/>
          </w:tcPr>
          <w:p>
            <w:pPr>
              <w:rPr>
                <w:rFonts w:hint="eastAsia"/>
                <w:lang w:val="en-US" w:eastAsia="zh-CN"/>
              </w:rPr>
            </w:pPr>
            <w:r>
              <w:rPr>
                <w:rFonts w:hint="eastAsia"/>
                <w:lang w:val="en-US" w:eastAsia="zh-CN"/>
              </w:rPr>
              <w:t>执行公司《不合格和纠正措施控制程序</w:t>
            </w:r>
            <w:r>
              <w:rPr>
                <w:rFonts w:hint="eastAsia"/>
                <w:lang w:val="en-US" w:eastAsia="zh-CN"/>
              </w:rPr>
              <w:tab/>
            </w:r>
            <w:r>
              <w:rPr>
                <w:rFonts w:hint="eastAsia"/>
                <w:lang w:val="en-US" w:eastAsia="zh-CN"/>
              </w:rPr>
              <w:t>YDBR-PD23》。</w:t>
            </w:r>
          </w:p>
          <w:p>
            <w:pPr>
              <w:rPr>
                <w:rFonts w:hint="eastAsia" w:ascii="Times New Roman" w:hAnsi="Times New Roman" w:eastAsia="宋体" w:cs="Times New Roman"/>
                <w:lang w:val="en-US" w:eastAsia="zh-CN"/>
              </w:rPr>
            </w:pPr>
            <w:r>
              <w:rPr>
                <w:rFonts w:hint="eastAsia"/>
              </w:rPr>
              <w:t>对日常工作检查，管理评审，内审，其他考评，合规性评价发现的不符合及环境的事件采取纠正，防止事态发展，进行原因分析，采取</w:t>
            </w:r>
            <w:r>
              <w:rPr>
                <w:rFonts w:hint="eastAsia" w:ascii="Times New Roman" w:hAnsi="Times New Roman" w:eastAsia="宋体" w:cs="Times New Roman"/>
                <w:lang w:val="en-US" w:eastAsia="zh-CN"/>
              </w:rPr>
              <w:t>必要的纠正预防措施，防止事件的发生、再发生。</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对管理评审、内审提出的不符合及改进要求，进行原因分析，制定了具体措施，目前已实施完成。</w:t>
            </w:r>
          </w:p>
          <w:p>
            <w:pPr>
              <w:rPr>
                <w:rFonts w:hint="default" w:eastAsia="宋体"/>
                <w:lang w:val="en-US" w:eastAsia="zh-CN"/>
              </w:rPr>
            </w:pPr>
            <w:r>
              <w:rPr>
                <w:rFonts w:hint="eastAsia" w:ascii="Times New Roman" w:hAnsi="Times New Roman" w:eastAsia="宋体" w:cs="Times New Roman"/>
                <w:lang w:val="en-US" w:eastAsia="zh-CN"/>
              </w:rPr>
              <w:t>自上次审核以来，未发生紧急事故、环境事故、上级抽查不符合。</w:t>
            </w:r>
          </w:p>
        </w:tc>
        <w:tc>
          <w:tcPr>
            <w:tcW w:w="319" w:type="pct"/>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Y</w:t>
            </w:r>
          </w:p>
        </w:tc>
      </w:tr>
    </w:tbl>
    <w:p>
      <w:pPr>
        <w:pStyle w:val="13"/>
        <w:rPr>
          <w:rFonts w:hint="eastAsia"/>
          <w:lang w:val="en-US" w:eastAsia="zh-CN"/>
        </w:rPr>
      </w:pPr>
    </w:p>
    <w:p>
      <w:pPr>
        <w:rPr>
          <w:rFonts w:hint="eastAsia" w:ascii="宋体" w:hAnsi="宋体" w:eastAsia="宋体" w:cs="宋体"/>
          <w:kern w:val="2"/>
          <w:sz w:val="21"/>
          <w:szCs w:val="21"/>
          <w:lang w:val="en-US" w:eastAsia="zh-CN" w:bidi="ar-SA"/>
        </w:rPr>
      </w:pPr>
    </w:p>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_x000B__x000C_">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8910"/>
        <w:tab w:val="left" w:pos="9142"/>
        <w:tab w:val="clear" w:pos="4153"/>
      </w:tabs>
      <w:spacing w:line="320" w:lineRule="exact"/>
      <w:ind w:left="-86" w:leftChars="-41" w:firstLine="810" w:firstLineChars="450"/>
      <w:jc w:val="left"/>
      <w:rPr>
        <w:rStyle w:val="2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7"/>
        <w:rFonts w:hint="default"/>
      </w:rPr>
      <w:t>北京国标联合认证有限公司</w:t>
    </w:r>
    <w:r>
      <w:rPr>
        <w:rStyle w:val="27"/>
        <w:rFonts w:hint="default"/>
      </w:rPr>
      <w:tab/>
    </w:r>
    <w:r>
      <w:rPr>
        <w:rStyle w:val="27"/>
        <w:rFonts w:hint="default"/>
      </w:rPr>
      <w:tab/>
    </w:r>
    <w:r>
      <w:rPr>
        <w:rStyle w:val="27"/>
        <w:rFonts w:hint="default"/>
      </w:rPr>
      <w:tab/>
    </w:r>
  </w:p>
  <w:p>
    <w:pPr>
      <w:pStyle w:val="14"/>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7"/>
        <w:rFonts w:hint="default"/>
        <w:w w:val="90"/>
      </w:rPr>
      <w:t>Beijing International Standard united Certification Co.,Ltd.</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9"/>
      <w:suff w:val="nothing"/>
      <w:lvlText w:val="%1）"/>
      <w:lvlJc w:val="left"/>
    </w:lvl>
  </w:abstractNum>
  <w:abstractNum w:abstractNumId="1">
    <w:nsid w:val="01680402"/>
    <w:multiLevelType w:val="singleLevel"/>
    <w:tmpl w:val="01680402"/>
    <w:lvl w:ilvl="0" w:tentative="0">
      <w:start w:val="2"/>
      <w:numFmt w:val="decimal"/>
      <w:suff w:val="nothing"/>
      <w:lvlText w:val="%1、"/>
      <w:lvlJc w:val="left"/>
    </w:lvl>
  </w:abstractNum>
  <w:abstractNum w:abstractNumId="2">
    <w:nsid w:val="12E4898E"/>
    <w:multiLevelType w:val="singleLevel"/>
    <w:tmpl w:val="12E4898E"/>
    <w:lvl w:ilvl="0" w:tentative="0">
      <w:start w:val="4"/>
      <w:numFmt w:val="decimal"/>
      <w:suff w:val="nothing"/>
      <w:lvlText w:val="%1、"/>
      <w:lvlJc w:val="left"/>
    </w:lvl>
  </w:abstractNum>
  <w:abstractNum w:abstractNumId="3">
    <w:nsid w:val="381DED62"/>
    <w:multiLevelType w:val="singleLevel"/>
    <w:tmpl w:val="381DED62"/>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YzNiMjc5NzYwNjUxMjA5NDRlYzkyNDMzNDFlOTkifQ=="/>
    <w:docVar w:name="KSO_WPS_MARK_KEY" w:val="cf49d7f2-50dc-4db7-ab5d-bfb59aec75bb"/>
  </w:docVars>
  <w:rsids>
    <w:rsidRoot w:val="00172A27"/>
    <w:rsid w:val="000446B9"/>
    <w:rsid w:val="00083BC3"/>
    <w:rsid w:val="000D3B0E"/>
    <w:rsid w:val="000E2732"/>
    <w:rsid w:val="00165E6E"/>
    <w:rsid w:val="00172A27"/>
    <w:rsid w:val="00211DB6"/>
    <w:rsid w:val="00223A24"/>
    <w:rsid w:val="002360D5"/>
    <w:rsid w:val="00251D2E"/>
    <w:rsid w:val="002A623A"/>
    <w:rsid w:val="002F2502"/>
    <w:rsid w:val="003D3EDA"/>
    <w:rsid w:val="004121DE"/>
    <w:rsid w:val="00434D9A"/>
    <w:rsid w:val="00435B26"/>
    <w:rsid w:val="00441793"/>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15614A8"/>
    <w:rsid w:val="01842762"/>
    <w:rsid w:val="02523B07"/>
    <w:rsid w:val="02B50726"/>
    <w:rsid w:val="02CD3CC1"/>
    <w:rsid w:val="02DE7C7D"/>
    <w:rsid w:val="03127926"/>
    <w:rsid w:val="032C18A2"/>
    <w:rsid w:val="03380856"/>
    <w:rsid w:val="036F435A"/>
    <w:rsid w:val="03CA4C40"/>
    <w:rsid w:val="03D2197C"/>
    <w:rsid w:val="03DD1CE2"/>
    <w:rsid w:val="041D47D5"/>
    <w:rsid w:val="043B10FF"/>
    <w:rsid w:val="045333A8"/>
    <w:rsid w:val="048C6EE4"/>
    <w:rsid w:val="049D76C3"/>
    <w:rsid w:val="049F2402"/>
    <w:rsid w:val="04C4437D"/>
    <w:rsid w:val="050B6D23"/>
    <w:rsid w:val="055B3D94"/>
    <w:rsid w:val="05AA02EA"/>
    <w:rsid w:val="05AD1B88"/>
    <w:rsid w:val="066429F1"/>
    <w:rsid w:val="06872B7E"/>
    <w:rsid w:val="06986394"/>
    <w:rsid w:val="069A69A2"/>
    <w:rsid w:val="06C642C0"/>
    <w:rsid w:val="06CE625A"/>
    <w:rsid w:val="071602E4"/>
    <w:rsid w:val="0749768F"/>
    <w:rsid w:val="07834179"/>
    <w:rsid w:val="07AF139D"/>
    <w:rsid w:val="07CD02C0"/>
    <w:rsid w:val="07F4584C"/>
    <w:rsid w:val="080D2DB2"/>
    <w:rsid w:val="084632FA"/>
    <w:rsid w:val="08670714"/>
    <w:rsid w:val="086F75C9"/>
    <w:rsid w:val="087F5A5E"/>
    <w:rsid w:val="089D7C92"/>
    <w:rsid w:val="08D55A15"/>
    <w:rsid w:val="08F06A48"/>
    <w:rsid w:val="09175C96"/>
    <w:rsid w:val="095261F1"/>
    <w:rsid w:val="0955726C"/>
    <w:rsid w:val="098F7F23"/>
    <w:rsid w:val="09A908B8"/>
    <w:rsid w:val="09FF022E"/>
    <w:rsid w:val="0AA542C9"/>
    <w:rsid w:val="0AAB206E"/>
    <w:rsid w:val="0ABF65E6"/>
    <w:rsid w:val="0AC634FC"/>
    <w:rsid w:val="0AC7549A"/>
    <w:rsid w:val="0AF81AF7"/>
    <w:rsid w:val="0B664CB3"/>
    <w:rsid w:val="0B7A014C"/>
    <w:rsid w:val="0B811CA5"/>
    <w:rsid w:val="0C4B5C57"/>
    <w:rsid w:val="0C4F3999"/>
    <w:rsid w:val="0C5B40EC"/>
    <w:rsid w:val="0C886EAB"/>
    <w:rsid w:val="0C9B3411"/>
    <w:rsid w:val="0C9E047D"/>
    <w:rsid w:val="0CB5709F"/>
    <w:rsid w:val="0CBE4925"/>
    <w:rsid w:val="0CC815A3"/>
    <w:rsid w:val="0D0C188A"/>
    <w:rsid w:val="0D18022F"/>
    <w:rsid w:val="0D3D3E19"/>
    <w:rsid w:val="0D57284E"/>
    <w:rsid w:val="0D9431F1"/>
    <w:rsid w:val="0DBB5083"/>
    <w:rsid w:val="0DF540CC"/>
    <w:rsid w:val="0E0F46AC"/>
    <w:rsid w:val="0E146C48"/>
    <w:rsid w:val="0E3767D3"/>
    <w:rsid w:val="0ED009A0"/>
    <w:rsid w:val="0F36499C"/>
    <w:rsid w:val="0F461C36"/>
    <w:rsid w:val="0F5F0397"/>
    <w:rsid w:val="0F6D5D93"/>
    <w:rsid w:val="0FCF5200"/>
    <w:rsid w:val="0FD61CDB"/>
    <w:rsid w:val="10335578"/>
    <w:rsid w:val="104B4477"/>
    <w:rsid w:val="108A1444"/>
    <w:rsid w:val="10AF4A06"/>
    <w:rsid w:val="110D7335"/>
    <w:rsid w:val="11E903EC"/>
    <w:rsid w:val="11FD4F0F"/>
    <w:rsid w:val="120203B0"/>
    <w:rsid w:val="121F3E0E"/>
    <w:rsid w:val="12244F80"/>
    <w:rsid w:val="125D2C5E"/>
    <w:rsid w:val="128B7593"/>
    <w:rsid w:val="12C02EFB"/>
    <w:rsid w:val="12C34799"/>
    <w:rsid w:val="12DB7D35"/>
    <w:rsid w:val="12F06B96"/>
    <w:rsid w:val="13097082"/>
    <w:rsid w:val="132F7442"/>
    <w:rsid w:val="13350209"/>
    <w:rsid w:val="1340228E"/>
    <w:rsid w:val="13452500"/>
    <w:rsid w:val="13837902"/>
    <w:rsid w:val="138C54D3"/>
    <w:rsid w:val="13C57BB8"/>
    <w:rsid w:val="13E26254"/>
    <w:rsid w:val="140137CB"/>
    <w:rsid w:val="140E71F5"/>
    <w:rsid w:val="142E34B0"/>
    <w:rsid w:val="144E09DA"/>
    <w:rsid w:val="148A7C64"/>
    <w:rsid w:val="148C39B2"/>
    <w:rsid w:val="149D6589"/>
    <w:rsid w:val="14A10B0A"/>
    <w:rsid w:val="14E04766"/>
    <w:rsid w:val="14EB4ABE"/>
    <w:rsid w:val="14EC6518"/>
    <w:rsid w:val="151237B6"/>
    <w:rsid w:val="153723AB"/>
    <w:rsid w:val="161948F8"/>
    <w:rsid w:val="16294BEA"/>
    <w:rsid w:val="162F6CF7"/>
    <w:rsid w:val="164B6F7F"/>
    <w:rsid w:val="16663DB9"/>
    <w:rsid w:val="16802341"/>
    <w:rsid w:val="16B32D77"/>
    <w:rsid w:val="16C32FBA"/>
    <w:rsid w:val="16E64EFA"/>
    <w:rsid w:val="16F5338F"/>
    <w:rsid w:val="17023F14"/>
    <w:rsid w:val="174F2A9F"/>
    <w:rsid w:val="1755215E"/>
    <w:rsid w:val="177366C3"/>
    <w:rsid w:val="17827BFD"/>
    <w:rsid w:val="179761F4"/>
    <w:rsid w:val="17B62B1E"/>
    <w:rsid w:val="17E72CD8"/>
    <w:rsid w:val="182757CA"/>
    <w:rsid w:val="183F3ACB"/>
    <w:rsid w:val="18720CBA"/>
    <w:rsid w:val="18E52D16"/>
    <w:rsid w:val="19137A7E"/>
    <w:rsid w:val="19157D18"/>
    <w:rsid w:val="19355CC5"/>
    <w:rsid w:val="193744F0"/>
    <w:rsid w:val="19680B28"/>
    <w:rsid w:val="19A846E9"/>
    <w:rsid w:val="19C321BE"/>
    <w:rsid w:val="19CE2403"/>
    <w:rsid w:val="19DC491F"/>
    <w:rsid w:val="19F811CC"/>
    <w:rsid w:val="1A16534C"/>
    <w:rsid w:val="1A5817D8"/>
    <w:rsid w:val="1A872550"/>
    <w:rsid w:val="1A954C6D"/>
    <w:rsid w:val="1AB501CF"/>
    <w:rsid w:val="1ADB2FCA"/>
    <w:rsid w:val="1AFC0863"/>
    <w:rsid w:val="1B054E13"/>
    <w:rsid w:val="1B300E3A"/>
    <w:rsid w:val="1B37398D"/>
    <w:rsid w:val="1B4239E1"/>
    <w:rsid w:val="1B7C2CE6"/>
    <w:rsid w:val="1BE97638"/>
    <w:rsid w:val="1C1B5646"/>
    <w:rsid w:val="1C2A5889"/>
    <w:rsid w:val="1C394EA9"/>
    <w:rsid w:val="1C6C7C4F"/>
    <w:rsid w:val="1C866075"/>
    <w:rsid w:val="1C8B122A"/>
    <w:rsid w:val="1CA65E0B"/>
    <w:rsid w:val="1D1B01D1"/>
    <w:rsid w:val="1D1B6E43"/>
    <w:rsid w:val="1DA71021"/>
    <w:rsid w:val="1DB90673"/>
    <w:rsid w:val="1DC31AF1"/>
    <w:rsid w:val="1DC43E7C"/>
    <w:rsid w:val="1DF736E1"/>
    <w:rsid w:val="1E5109CC"/>
    <w:rsid w:val="1E635082"/>
    <w:rsid w:val="1EBF7389"/>
    <w:rsid w:val="1EC831EB"/>
    <w:rsid w:val="1ED307E2"/>
    <w:rsid w:val="1F0A3BEB"/>
    <w:rsid w:val="1F1A7E37"/>
    <w:rsid w:val="1F2E38E2"/>
    <w:rsid w:val="1F334A54"/>
    <w:rsid w:val="1F7E6617"/>
    <w:rsid w:val="1F856DAB"/>
    <w:rsid w:val="1F9C1638"/>
    <w:rsid w:val="1FEA15B7"/>
    <w:rsid w:val="1FEE6024"/>
    <w:rsid w:val="201063F5"/>
    <w:rsid w:val="201205D5"/>
    <w:rsid w:val="20275765"/>
    <w:rsid w:val="204D5FEA"/>
    <w:rsid w:val="206A094A"/>
    <w:rsid w:val="206C4C14"/>
    <w:rsid w:val="206D21E8"/>
    <w:rsid w:val="207C79FC"/>
    <w:rsid w:val="20A11EED"/>
    <w:rsid w:val="20D3667D"/>
    <w:rsid w:val="211F34E2"/>
    <w:rsid w:val="21751354"/>
    <w:rsid w:val="21AF093C"/>
    <w:rsid w:val="21BC6F83"/>
    <w:rsid w:val="21C733B4"/>
    <w:rsid w:val="220666F6"/>
    <w:rsid w:val="22097CEF"/>
    <w:rsid w:val="222A53DB"/>
    <w:rsid w:val="223B259E"/>
    <w:rsid w:val="226118D9"/>
    <w:rsid w:val="227855A0"/>
    <w:rsid w:val="22897017"/>
    <w:rsid w:val="22D36C7A"/>
    <w:rsid w:val="23171E02"/>
    <w:rsid w:val="23571659"/>
    <w:rsid w:val="238D0D17"/>
    <w:rsid w:val="239006C7"/>
    <w:rsid w:val="2398654C"/>
    <w:rsid w:val="23C22EE2"/>
    <w:rsid w:val="23F442C2"/>
    <w:rsid w:val="246F1264"/>
    <w:rsid w:val="247E34E0"/>
    <w:rsid w:val="24B0559B"/>
    <w:rsid w:val="24B61D78"/>
    <w:rsid w:val="24E61397"/>
    <w:rsid w:val="252F0F17"/>
    <w:rsid w:val="254523B8"/>
    <w:rsid w:val="256C6A61"/>
    <w:rsid w:val="25931B77"/>
    <w:rsid w:val="25950217"/>
    <w:rsid w:val="25EB42DB"/>
    <w:rsid w:val="26290FC4"/>
    <w:rsid w:val="26357304"/>
    <w:rsid w:val="264B2A55"/>
    <w:rsid w:val="264F5619"/>
    <w:rsid w:val="27506FC9"/>
    <w:rsid w:val="2752510C"/>
    <w:rsid w:val="27530CA9"/>
    <w:rsid w:val="27822A1D"/>
    <w:rsid w:val="27CA237A"/>
    <w:rsid w:val="27CB7F20"/>
    <w:rsid w:val="27D8088F"/>
    <w:rsid w:val="27DB7654"/>
    <w:rsid w:val="28966C30"/>
    <w:rsid w:val="28976054"/>
    <w:rsid w:val="289C33AE"/>
    <w:rsid w:val="28B07116"/>
    <w:rsid w:val="29037B8D"/>
    <w:rsid w:val="2A2C559A"/>
    <w:rsid w:val="2A570191"/>
    <w:rsid w:val="2A866380"/>
    <w:rsid w:val="2B487ADA"/>
    <w:rsid w:val="2BD559B4"/>
    <w:rsid w:val="2BF50816"/>
    <w:rsid w:val="2BFB1B9B"/>
    <w:rsid w:val="2C024716"/>
    <w:rsid w:val="2C530119"/>
    <w:rsid w:val="2C580332"/>
    <w:rsid w:val="2C64742D"/>
    <w:rsid w:val="2C762092"/>
    <w:rsid w:val="2CB50322"/>
    <w:rsid w:val="2CB74F17"/>
    <w:rsid w:val="2CF726C7"/>
    <w:rsid w:val="2D102879"/>
    <w:rsid w:val="2D2A393B"/>
    <w:rsid w:val="2D424A3C"/>
    <w:rsid w:val="2D5E35E4"/>
    <w:rsid w:val="2D6C37CD"/>
    <w:rsid w:val="2DDF0A87"/>
    <w:rsid w:val="2DE25FC3"/>
    <w:rsid w:val="2DE405F9"/>
    <w:rsid w:val="2E6630F9"/>
    <w:rsid w:val="2E6764C9"/>
    <w:rsid w:val="2E70537D"/>
    <w:rsid w:val="2E9F5C62"/>
    <w:rsid w:val="2ECB4CA9"/>
    <w:rsid w:val="2F3842D0"/>
    <w:rsid w:val="2F5F4DFE"/>
    <w:rsid w:val="2FE01DC9"/>
    <w:rsid w:val="2FED44BA"/>
    <w:rsid w:val="300F506A"/>
    <w:rsid w:val="3014086C"/>
    <w:rsid w:val="30356292"/>
    <w:rsid w:val="3048367F"/>
    <w:rsid w:val="30CE6A2C"/>
    <w:rsid w:val="30D83F84"/>
    <w:rsid w:val="310B76AB"/>
    <w:rsid w:val="31172428"/>
    <w:rsid w:val="31174143"/>
    <w:rsid w:val="311E2B2F"/>
    <w:rsid w:val="31BB1005"/>
    <w:rsid w:val="31C25868"/>
    <w:rsid w:val="31D9137F"/>
    <w:rsid w:val="31DF5BAD"/>
    <w:rsid w:val="31F2254D"/>
    <w:rsid w:val="31FB2A20"/>
    <w:rsid w:val="32794D35"/>
    <w:rsid w:val="329F4456"/>
    <w:rsid w:val="32C27B60"/>
    <w:rsid w:val="32FC7B27"/>
    <w:rsid w:val="330662B0"/>
    <w:rsid w:val="33264F6B"/>
    <w:rsid w:val="332C1E5A"/>
    <w:rsid w:val="33354389"/>
    <w:rsid w:val="338E33C2"/>
    <w:rsid w:val="33D70905"/>
    <w:rsid w:val="340D2DD0"/>
    <w:rsid w:val="34D04DC8"/>
    <w:rsid w:val="34F07218"/>
    <w:rsid w:val="352D4BA9"/>
    <w:rsid w:val="357C4FF0"/>
    <w:rsid w:val="359F1CD5"/>
    <w:rsid w:val="35AD3F57"/>
    <w:rsid w:val="35E84393"/>
    <w:rsid w:val="36034D29"/>
    <w:rsid w:val="360D5BA8"/>
    <w:rsid w:val="36152745"/>
    <w:rsid w:val="364A6DFC"/>
    <w:rsid w:val="3656754F"/>
    <w:rsid w:val="366155FA"/>
    <w:rsid w:val="36F17277"/>
    <w:rsid w:val="36F7087E"/>
    <w:rsid w:val="36F913D6"/>
    <w:rsid w:val="37076A9B"/>
    <w:rsid w:val="37092813"/>
    <w:rsid w:val="371F710E"/>
    <w:rsid w:val="372E2279"/>
    <w:rsid w:val="375A02D5"/>
    <w:rsid w:val="375F6E1F"/>
    <w:rsid w:val="37A60062"/>
    <w:rsid w:val="37AF74CA"/>
    <w:rsid w:val="37C36BD9"/>
    <w:rsid w:val="37D050DF"/>
    <w:rsid w:val="37D91C3D"/>
    <w:rsid w:val="37E56DDC"/>
    <w:rsid w:val="38DC35CA"/>
    <w:rsid w:val="38E22F01"/>
    <w:rsid w:val="390414E4"/>
    <w:rsid w:val="394713D0"/>
    <w:rsid w:val="39765215"/>
    <w:rsid w:val="397850B9"/>
    <w:rsid w:val="39D045AF"/>
    <w:rsid w:val="39FA4695"/>
    <w:rsid w:val="39FE4185"/>
    <w:rsid w:val="3A347BA7"/>
    <w:rsid w:val="3A6F3596"/>
    <w:rsid w:val="3AA770DD"/>
    <w:rsid w:val="3AAB598F"/>
    <w:rsid w:val="3AD279CD"/>
    <w:rsid w:val="3AF52EEE"/>
    <w:rsid w:val="3B312338"/>
    <w:rsid w:val="3BFA04A9"/>
    <w:rsid w:val="3C1063F2"/>
    <w:rsid w:val="3C1A6C1B"/>
    <w:rsid w:val="3C3B1043"/>
    <w:rsid w:val="3C6D73A0"/>
    <w:rsid w:val="3C8B5A78"/>
    <w:rsid w:val="3C9C1A33"/>
    <w:rsid w:val="3CC03974"/>
    <w:rsid w:val="3CC81813"/>
    <w:rsid w:val="3CFF58C3"/>
    <w:rsid w:val="3D430101"/>
    <w:rsid w:val="3D5210F2"/>
    <w:rsid w:val="3D6955AA"/>
    <w:rsid w:val="3D8F19FC"/>
    <w:rsid w:val="3D8F7591"/>
    <w:rsid w:val="3D9F071A"/>
    <w:rsid w:val="3DA07AD8"/>
    <w:rsid w:val="3DBB3361"/>
    <w:rsid w:val="3DE6740A"/>
    <w:rsid w:val="3E1F291C"/>
    <w:rsid w:val="3E4800C5"/>
    <w:rsid w:val="3E5E4B58"/>
    <w:rsid w:val="3E833AAE"/>
    <w:rsid w:val="3EBA43F3"/>
    <w:rsid w:val="3EDE747D"/>
    <w:rsid w:val="3F30107F"/>
    <w:rsid w:val="3F4F7037"/>
    <w:rsid w:val="3F7722E4"/>
    <w:rsid w:val="3F8E5FAB"/>
    <w:rsid w:val="3FE71217"/>
    <w:rsid w:val="3FFC40F9"/>
    <w:rsid w:val="402358E4"/>
    <w:rsid w:val="403478C8"/>
    <w:rsid w:val="40955117"/>
    <w:rsid w:val="40A44343"/>
    <w:rsid w:val="40AF2E16"/>
    <w:rsid w:val="40C8729B"/>
    <w:rsid w:val="4110479E"/>
    <w:rsid w:val="41262208"/>
    <w:rsid w:val="416D3A05"/>
    <w:rsid w:val="41A970CC"/>
    <w:rsid w:val="41AE46E3"/>
    <w:rsid w:val="41C71300"/>
    <w:rsid w:val="42350960"/>
    <w:rsid w:val="42666D6B"/>
    <w:rsid w:val="42750D5C"/>
    <w:rsid w:val="42994F32"/>
    <w:rsid w:val="42B44C7C"/>
    <w:rsid w:val="42C910A8"/>
    <w:rsid w:val="42D71A17"/>
    <w:rsid w:val="42FC356D"/>
    <w:rsid w:val="4303282C"/>
    <w:rsid w:val="43543068"/>
    <w:rsid w:val="43C64FE4"/>
    <w:rsid w:val="43DA0AF9"/>
    <w:rsid w:val="43F839F3"/>
    <w:rsid w:val="43FB34E3"/>
    <w:rsid w:val="44000F96"/>
    <w:rsid w:val="44767327"/>
    <w:rsid w:val="447B63D2"/>
    <w:rsid w:val="448939E8"/>
    <w:rsid w:val="44903A0B"/>
    <w:rsid w:val="44E4041B"/>
    <w:rsid w:val="45170055"/>
    <w:rsid w:val="462336CA"/>
    <w:rsid w:val="463B406B"/>
    <w:rsid w:val="464C44CA"/>
    <w:rsid w:val="466D76E6"/>
    <w:rsid w:val="46730919"/>
    <w:rsid w:val="46753001"/>
    <w:rsid w:val="468974CC"/>
    <w:rsid w:val="469A5235"/>
    <w:rsid w:val="46B34549"/>
    <w:rsid w:val="46C95B1B"/>
    <w:rsid w:val="46E464B1"/>
    <w:rsid w:val="46F56910"/>
    <w:rsid w:val="470B3360"/>
    <w:rsid w:val="470D5BB3"/>
    <w:rsid w:val="471C316A"/>
    <w:rsid w:val="47867A2A"/>
    <w:rsid w:val="478A7058"/>
    <w:rsid w:val="47BE46F2"/>
    <w:rsid w:val="481E1E96"/>
    <w:rsid w:val="487F3086"/>
    <w:rsid w:val="48A91760"/>
    <w:rsid w:val="48D16F09"/>
    <w:rsid w:val="48DC7D87"/>
    <w:rsid w:val="4A065CCD"/>
    <w:rsid w:val="4A643210"/>
    <w:rsid w:val="4AE01685"/>
    <w:rsid w:val="4AE4195E"/>
    <w:rsid w:val="4AE515FF"/>
    <w:rsid w:val="4AF55130"/>
    <w:rsid w:val="4AFF016E"/>
    <w:rsid w:val="4B1C090F"/>
    <w:rsid w:val="4B4439C2"/>
    <w:rsid w:val="4B616322"/>
    <w:rsid w:val="4B8D7117"/>
    <w:rsid w:val="4BBC79FC"/>
    <w:rsid w:val="4BD411EA"/>
    <w:rsid w:val="4BEA4569"/>
    <w:rsid w:val="4C067384"/>
    <w:rsid w:val="4C104176"/>
    <w:rsid w:val="4C422E07"/>
    <w:rsid w:val="4C5F211F"/>
    <w:rsid w:val="4CBB4158"/>
    <w:rsid w:val="4CBD57DA"/>
    <w:rsid w:val="4D3C7046"/>
    <w:rsid w:val="4D7B7443"/>
    <w:rsid w:val="4D84279B"/>
    <w:rsid w:val="4DB8446C"/>
    <w:rsid w:val="4DF06083"/>
    <w:rsid w:val="4E2645D9"/>
    <w:rsid w:val="4E353A96"/>
    <w:rsid w:val="4E432B3D"/>
    <w:rsid w:val="4E4774F5"/>
    <w:rsid w:val="4E484948"/>
    <w:rsid w:val="4E4E112E"/>
    <w:rsid w:val="4E906B84"/>
    <w:rsid w:val="4E952388"/>
    <w:rsid w:val="4F0028F9"/>
    <w:rsid w:val="4F454EB6"/>
    <w:rsid w:val="4F9A44F8"/>
    <w:rsid w:val="4F9D0EFE"/>
    <w:rsid w:val="50010B90"/>
    <w:rsid w:val="50534713"/>
    <w:rsid w:val="505F4833"/>
    <w:rsid w:val="50AE35ED"/>
    <w:rsid w:val="512A5408"/>
    <w:rsid w:val="51713A23"/>
    <w:rsid w:val="51B178D7"/>
    <w:rsid w:val="51BA4519"/>
    <w:rsid w:val="52C36F1B"/>
    <w:rsid w:val="53074F3F"/>
    <w:rsid w:val="533505B9"/>
    <w:rsid w:val="533B19FC"/>
    <w:rsid w:val="538C23AA"/>
    <w:rsid w:val="53C1083B"/>
    <w:rsid w:val="53C71634"/>
    <w:rsid w:val="53D70873"/>
    <w:rsid w:val="53EC33B3"/>
    <w:rsid w:val="543547C4"/>
    <w:rsid w:val="545D0558"/>
    <w:rsid w:val="54852693"/>
    <w:rsid w:val="54887ACF"/>
    <w:rsid w:val="559D43FA"/>
    <w:rsid w:val="55C54CC4"/>
    <w:rsid w:val="55CA2C97"/>
    <w:rsid w:val="562B5EAA"/>
    <w:rsid w:val="56306A8D"/>
    <w:rsid w:val="56595C72"/>
    <w:rsid w:val="566C29CD"/>
    <w:rsid w:val="567535C9"/>
    <w:rsid w:val="56826AD5"/>
    <w:rsid w:val="569D042A"/>
    <w:rsid w:val="56A8690E"/>
    <w:rsid w:val="56EA7907"/>
    <w:rsid w:val="570C0B9E"/>
    <w:rsid w:val="5794182D"/>
    <w:rsid w:val="579706B0"/>
    <w:rsid w:val="57AB78BF"/>
    <w:rsid w:val="57DD5F3B"/>
    <w:rsid w:val="57E069DE"/>
    <w:rsid w:val="57F61A9D"/>
    <w:rsid w:val="5811240B"/>
    <w:rsid w:val="58200DE5"/>
    <w:rsid w:val="58577C69"/>
    <w:rsid w:val="586E207E"/>
    <w:rsid w:val="58A753F3"/>
    <w:rsid w:val="58BC54DF"/>
    <w:rsid w:val="593F0B63"/>
    <w:rsid w:val="596C2A61"/>
    <w:rsid w:val="59A4342A"/>
    <w:rsid w:val="5A0B7637"/>
    <w:rsid w:val="5A221665"/>
    <w:rsid w:val="5A426A40"/>
    <w:rsid w:val="5A6529CD"/>
    <w:rsid w:val="5B435A44"/>
    <w:rsid w:val="5B4E0839"/>
    <w:rsid w:val="5BB45E95"/>
    <w:rsid w:val="5C891B7C"/>
    <w:rsid w:val="5C8A7B5D"/>
    <w:rsid w:val="5C90184F"/>
    <w:rsid w:val="5C955DF5"/>
    <w:rsid w:val="5CFC40FC"/>
    <w:rsid w:val="5D0438B1"/>
    <w:rsid w:val="5D047717"/>
    <w:rsid w:val="5D1A19A5"/>
    <w:rsid w:val="5D7818BD"/>
    <w:rsid w:val="5DA91E5B"/>
    <w:rsid w:val="5DD60DF1"/>
    <w:rsid w:val="5DDB4A18"/>
    <w:rsid w:val="5E6157A5"/>
    <w:rsid w:val="5EA868A0"/>
    <w:rsid w:val="5EBB7FE7"/>
    <w:rsid w:val="5EEF00C4"/>
    <w:rsid w:val="5EFF1C82"/>
    <w:rsid w:val="5EFF572F"/>
    <w:rsid w:val="5F164849"/>
    <w:rsid w:val="5F312FE6"/>
    <w:rsid w:val="5F626974"/>
    <w:rsid w:val="5F7E4D8D"/>
    <w:rsid w:val="5F8B6CA4"/>
    <w:rsid w:val="5F922AF6"/>
    <w:rsid w:val="601E0986"/>
    <w:rsid w:val="6037356A"/>
    <w:rsid w:val="603A402A"/>
    <w:rsid w:val="6045400C"/>
    <w:rsid w:val="604C0FCC"/>
    <w:rsid w:val="608F34D9"/>
    <w:rsid w:val="609B3C2C"/>
    <w:rsid w:val="60C767CF"/>
    <w:rsid w:val="60D40322"/>
    <w:rsid w:val="60DD5762"/>
    <w:rsid w:val="60F041D8"/>
    <w:rsid w:val="60FD48E7"/>
    <w:rsid w:val="611F1E40"/>
    <w:rsid w:val="61354081"/>
    <w:rsid w:val="6155202D"/>
    <w:rsid w:val="617C45E9"/>
    <w:rsid w:val="618E553F"/>
    <w:rsid w:val="61960A21"/>
    <w:rsid w:val="620702D2"/>
    <w:rsid w:val="62437D85"/>
    <w:rsid w:val="6247665C"/>
    <w:rsid w:val="6248062A"/>
    <w:rsid w:val="6266708F"/>
    <w:rsid w:val="626F3307"/>
    <w:rsid w:val="62853BC4"/>
    <w:rsid w:val="62AE1EC2"/>
    <w:rsid w:val="62B80AC5"/>
    <w:rsid w:val="63460F90"/>
    <w:rsid w:val="634B193A"/>
    <w:rsid w:val="636171E2"/>
    <w:rsid w:val="636605B8"/>
    <w:rsid w:val="63796132"/>
    <w:rsid w:val="638F0C6D"/>
    <w:rsid w:val="639130C5"/>
    <w:rsid w:val="63BA5E61"/>
    <w:rsid w:val="63CA5825"/>
    <w:rsid w:val="64153CF6"/>
    <w:rsid w:val="64572A3A"/>
    <w:rsid w:val="64D8544F"/>
    <w:rsid w:val="64E624C1"/>
    <w:rsid w:val="64F47DAF"/>
    <w:rsid w:val="650A5A32"/>
    <w:rsid w:val="656C2C83"/>
    <w:rsid w:val="657A1AA1"/>
    <w:rsid w:val="6582360D"/>
    <w:rsid w:val="658D65D9"/>
    <w:rsid w:val="659A0956"/>
    <w:rsid w:val="65AB5BC1"/>
    <w:rsid w:val="65DC4ACB"/>
    <w:rsid w:val="66067D9A"/>
    <w:rsid w:val="66365258"/>
    <w:rsid w:val="665A1E94"/>
    <w:rsid w:val="66903D44"/>
    <w:rsid w:val="66D25ECE"/>
    <w:rsid w:val="66F06ACC"/>
    <w:rsid w:val="66F627FA"/>
    <w:rsid w:val="67A535E2"/>
    <w:rsid w:val="681A11EE"/>
    <w:rsid w:val="68264C60"/>
    <w:rsid w:val="683A3D2B"/>
    <w:rsid w:val="684A43D1"/>
    <w:rsid w:val="685B4D0D"/>
    <w:rsid w:val="689B6EBF"/>
    <w:rsid w:val="68E65C61"/>
    <w:rsid w:val="68EF2D67"/>
    <w:rsid w:val="68F20AA9"/>
    <w:rsid w:val="68F23C58"/>
    <w:rsid w:val="68F452C7"/>
    <w:rsid w:val="691B497C"/>
    <w:rsid w:val="699157E4"/>
    <w:rsid w:val="69BF6BDD"/>
    <w:rsid w:val="69DC778F"/>
    <w:rsid w:val="6A023D8F"/>
    <w:rsid w:val="6A2230B3"/>
    <w:rsid w:val="6A3B44E8"/>
    <w:rsid w:val="6A4C5F97"/>
    <w:rsid w:val="6A58493C"/>
    <w:rsid w:val="6A885221"/>
    <w:rsid w:val="6AE54347"/>
    <w:rsid w:val="6B1637B6"/>
    <w:rsid w:val="6B3B04E6"/>
    <w:rsid w:val="6B3D5B12"/>
    <w:rsid w:val="6B592E70"/>
    <w:rsid w:val="6B637181"/>
    <w:rsid w:val="6B674B73"/>
    <w:rsid w:val="6B6932A5"/>
    <w:rsid w:val="6B7C465A"/>
    <w:rsid w:val="6B8F67CD"/>
    <w:rsid w:val="6BD36970"/>
    <w:rsid w:val="6BEB79B1"/>
    <w:rsid w:val="6BEE4643"/>
    <w:rsid w:val="6C423718"/>
    <w:rsid w:val="6C472EBA"/>
    <w:rsid w:val="6C7128FC"/>
    <w:rsid w:val="6CCF5389"/>
    <w:rsid w:val="6D0234C5"/>
    <w:rsid w:val="6D414939"/>
    <w:rsid w:val="6D532C4E"/>
    <w:rsid w:val="6D7777CF"/>
    <w:rsid w:val="6DA81CEC"/>
    <w:rsid w:val="6DFD4A24"/>
    <w:rsid w:val="6DFF3A4C"/>
    <w:rsid w:val="6EA3225C"/>
    <w:rsid w:val="6EA42846"/>
    <w:rsid w:val="6F046E40"/>
    <w:rsid w:val="6F0D3F9D"/>
    <w:rsid w:val="6F0F2D65"/>
    <w:rsid w:val="6F1A5811"/>
    <w:rsid w:val="6F2723E1"/>
    <w:rsid w:val="6F3767C1"/>
    <w:rsid w:val="6F3B0368"/>
    <w:rsid w:val="6F4B746B"/>
    <w:rsid w:val="6F743CD4"/>
    <w:rsid w:val="701D453F"/>
    <w:rsid w:val="7114547A"/>
    <w:rsid w:val="713C0B14"/>
    <w:rsid w:val="71566000"/>
    <w:rsid w:val="71900E5F"/>
    <w:rsid w:val="719C5A56"/>
    <w:rsid w:val="719E7794"/>
    <w:rsid w:val="71A87053"/>
    <w:rsid w:val="721F290F"/>
    <w:rsid w:val="72216EF5"/>
    <w:rsid w:val="7236678B"/>
    <w:rsid w:val="723A2DA8"/>
    <w:rsid w:val="723B26D6"/>
    <w:rsid w:val="72486967"/>
    <w:rsid w:val="725A2FB5"/>
    <w:rsid w:val="72646574"/>
    <w:rsid w:val="727A7B45"/>
    <w:rsid w:val="72A41658"/>
    <w:rsid w:val="72C81D85"/>
    <w:rsid w:val="72CE7F48"/>
    <w:rsid w:val="72E505AA"/>
    <w:rsid w:val="72F606FE"/>
    <w:rsid w:val="72FE3418"/>
    <w:rsid w:val="730075F6"/>
    <w:rsid w:val="734D1F8A"/>
    <w:rsid w:val="735006CC"/>
    <w:rsid w:val="73740A39"/>
    <w:rsid w:val="73843460"/>
    <w:rsid w:val="742F2BB2"/>
    <w:rsid w:val="743C3640"/>
    <w:rsid w:val="74C276BA"/>
    <w:rsid w:val="74C366B2"/>
    <w:rsid w:val="750E0A19"/>
    <w:rsid w:val="758C7D84"/>
    <w:rsid w:val="75AB44BA"/>
    <w:rsid w:val="75AC250E"/>
    <w:rsid w:val="763A22AD"/>
    <w:rsid w:val="764C239C"/>
    <w:rsid w:val="76AE663B"/>
    <w:rsid w:val="76C5219A"/>
    <w:rsid w:val="76DD5309"/>
    <w:rsid w:val="77132317"/>
    <w:rsid w:val="772A140E"/>
    <w:rsid w:val="777C610E"/>
    <w:rsid w:val="77EA751B"/>
    <w:rsid w:val="781B2B30"/>
    <w:rsid w:val="78395DAD"/>
    <w:rsid w:val="78A43B6E"/>
    <w:rsid w:val="79376265"/>
    <w:rsid w:val="794150BB"/>
    <w:rsid w:val="79515378"/>
    <w:rsid w:val="799043B8"/>
    <w:rsid w:val="79B4611B"/>
    <w:rsid w:val="7A25085D"/>
    <w:rsid w:val="7A2D3830"/>
    <w:rsid w:val="7A32799C"/>
    <w:rsid w:val="7A711E7E"/>
    <w:rsid w:val="7A771C84"/>
    <w:rsid w:val="7AA8721A"/>
    <w:rsid w:val="7AAF67FA"/>
    <w:rsid w:val="7AB95C4F"/>
    <w:rsid w:val="7ACF3FCB"/>
    <w:rsid w:val="7B012A0E"/>
    <w:rsid w:val="7B690757"/>
    <w:rsid w:val="7C17769E"/>
    <w:rsid w:val="7C2F6FCA"/>
    <w:rsid w:val="7C460A98"/>
    <w:rsid w:val="7C481098"/>
    <w:rsid w:val="7C684EB3"/>
    <w:rsid w:val="7C690A14"/>
    <w:rsid w:val="7C751976"/>
    <w:rsid w:val="7CC35784"/>
    <w:rsid w:val="7D7342F2"/>
    <w:rsid w:val="7D840CC5"/>
    <w:rsid w:val="7D8775BA"/>
    <w:rsid w:val="7D8A0E59"/>
    <w:rsid w:val="7DB11D69"/>
    <w:rsid w:val="7DB87774"/>
    <w:rsid w:val="7DFF61E9"/>
    <w:rsid w:val="7E3C3C99"/>
    <w:rsid w:val="7E4159BB"/>
    <w:rsid w:val="7E616FF2"/>
    <w:rsid w:val="7F285F22"/>
    <w:rsid w:val="7F387A7F"/>
    <w:rsid w:val="7F636901"/>
    <w:rsid w:val="7F6556D9"/>
    <w:rsid w:val="7F736048"/>
    <w:rsid w:val="7F765B38"/>
    <w:rsid w:val="7F821A2C"/>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6">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7">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uiPriority w:val="9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unhideWhenUsed/>
    <w:uiPriority w:val="99"/>
    <w:pPr>
      <w:spacing w:after="120"/>
      <w:ind w:left="420" w:leftChars="200"/>
    </w:pPr>
    <w:rPr>
      <w:sz w:val="24"/>
    </w:rPr>
  </w:style>
  <w:style w:type="paragraph" w:styleId="4">
    <w:name w:val="toc 3"/>
    <w:basedOn w:val="1"/>
    <w:next w:val="1"/>
    <w:uiPriority w:val="0"/>
    <w:pPr>
      <w:wordWrap w:val="0"/>
      <w:ind w:left="425"/>
      <w:jc w:val="both"/>
    </w:pPr>
    <w:rPr>
      <w:rFonts w:ascii="Calibri" w:hAnsi="Calibri" w:eastAsia="宋体" w:cs="Times New Roman"/>
      <w:sz w:val="21"/>
      <w:lang w:val="en-US" w:eastAsia="zh-CN" w:bidi="ar-SA"/>
    </w:rPr>
  </w:style>
  <w:style w:type="paragraph" w:styleId="8">
    <w:name w:val="Normal Indent"/>
    <w:basedOn w:val="1"/>
    <w:qFormat/>
    <w:uiPriority w:val="0"/>
    <w:pPr>
      <w:adjustRightInd w:val="0"/>
      <w:spacing w:line="360" w:lineRule="atLeast"/>
      <w:ind w:left="480"/>
      <w:textAlignment w:val="baseline"/>
    </w:pPr>
    <w:rPr>
      <w:kern w:val="0"/>
    </w:rPr>
  </w:style>
  <w:style w:type="paragraph" w:styleId="9">
    <w:name w:val="Body Text"/>
    <w:basedOn w:val="1"/>
    <w:next w:val="7"/>
    <w:unhideWhenUsed/>
    <w:qFormat/>
    <w:uiPriority w:val="99"/>
    <w:pPr>
      <w:spacing w:line="420" w:lineRule="exact"/>
    </w:pPr>
    <w:rPr>
      <w:sz w:val="24"/>
    </w:rPr>
  </w:style>
  <w:style w:type="paragraph" w:styleId="10">
    <w:name w:val="Block Text"/>
    <w:basedOn w:val="1"/>
    <w:qFormat/>
    <w:uiPriority w:val="0"/>
    <w:pPr>
      <w:ind w:left="1785" w:right="3407"/>
    </w:pPr>
    <w:rPr>
      <w:sz w:val="24"/>
    </w:rPr>
  </w:style>
  <w:style w:type="paragraph" w:styleId="11">
    <w:name w:val="Plain Text"/>
    <w:basedOn w:val="1"/>
    <w:qFormat/>
    <w:uiPriority w:val="0"/>
    <w:rPr>
      <w:rFonts w:ascii="宋体" w:hAnsi="Courier New"/>
    </w:rPr>
  </w:style>
  <w:style w:type="paragraph" w:styleId="12">
    <w:name w:val="Balloon Text"/>
    <w:basedOn w:val="1"/>
    <w:link w:val="26"/>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next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338DE6"/>
      <w:u w:val="none"/>
    </w:rPr>
  </w:style>
  <w:style w:type="paragraph" w:customStyle="1" w:styleId="21">
    <w:name w:val="无间隔1"/>
    <w:qFormat/>
    <w:uiPriority w:val="0"/>
    <w:rPr>
      <w:rFonts w:ascii="Times New Roman" w:hAnsi="Times New Roman" w:eastAsia="宋体" w:cs="Times New Roman"/>
      <w:sz w:val="22"/>
      <w:szCs w:val="22"/>
      <w:lang w:val="en-US" w:eastAsia="zh-CN" w:bidi="ar-SA"/>
    </w:rPr>
  </w:style>
  <w:style w:type="paragraph" w:customStyle="1" w:styleId="22">
    <w:name w:val="表格文字"/>
    <w:basedOn w:val="1"/>
    <w:qFormat/>
    <w:uiPriority w:val="0"/>
    <w:pPr>
      <w:spacing w:before="25" w:after="25"/>
    </w:pPr>
    <w:rPr>
      <w:bCs/>
      <w:spacing w:val="10"/>
    </w:rPr>
  </w:style>
  <w:style w:type="paragraph" w:customStyle="1" w:styleId="23">
    <w:name w:val="正文 首行缩进:  2 字符"/>
    <w:basedOn w:val="1"/>
    <w:qFormat/>
    <w:uiPriority w:val="0"/>
    <w:pPr>
      <w:ind w:firstLine="200" w:firstLineChars="200"/>
    </w:pPr>
    <w:rPr>
      <w:rFonts w:cs="宋体"/>
      <w:sz w:val="24"/>
      <w:szCs w:val="20"/>
    </w:rPr>
  </w:style>
  <w:style w:type="character" w:customStyle="1" w:styleId="24">
    <w:name w:val="页眉 字符"/>
    <w:basedOn w:val="18"/>
    <w:link w:val="14"/>
    <w:qFormat/>
    <w:uiPriority w:val="99"/>
    <w:rPr>
      <w:rFonts w:ascii="Times New Roman" w:hAnsi="Times New Roman" w:eastAsia="宋体" w:cs="Times New Roman"/>
      <w:sz w:val="18"/>
      <w:szCs w:val="18"/>
    </w:rPr>
  </w:style>
  <w:style w:type="character" w:customStyle="1" w:styleId="25">
    <w:name w:val="页脚 字符"/>
    <w:basedOn w:val="18"/>
    <w:link w:val="13"/>
    <w:qFormat/>
    <w:uiPriority w:val="99"/>
    <w:rPr>
      <w:rFonts w:ascii="Times New Roman" w:hAnsi="Times New Roman" w:eastAsia="宋体" w:cs="Times New Roman"/>
      <w:sz w:val="18"/>
      <w:szCs w:val="18"/>
    </w:rPr>
  </w:style>
  <w:style w:type="character" w:customStyle="1" w:styleId="26">
    <w:name w:val="批注框文本 字符"/>
    <w:basedOn w:val="18"/>
    <w:link w:val="12"/>
    <w:semiHidden/>
    <w:qFormat/>
    <w:uiPriority w:val="99"/>
    <w:rPr>
      <w:rFonts w:ascii="Times New Roman" w:hAnsi="Times New Roman" w:eastAsia="宋体" w:cs="Times New Roman"/>
      <w:sz w:val="18"/>
      <w:szCs w:val="18"/>
    </w:rPr>
  </w:style>
  <w:style w:type="character" w:customStyle="1" w:styleId="27">
    <w:name w:val="Char Char1"/>
    <w:qFormat/>
    <w:locked/>
    <w:uiPriority w:val="0"/>
    <w:rPr>
      <w:rFonts w:hint="eastAsia" w:ascii="宋体" w:hAnsi="Courier New" w:eastAsia="宋体"/>
      <w:kern w:val="2"/>
      <w:sz w:val="21"/>
      <w:lang w:val="en-US" w:eastAsia="zh-CN" w:bidi="ar-SA"/>
    </w:rPr>
  </w:style>
  <w:style w:type="paragraph" w:customStyle="1" w:styleId="28">
    <w:name w:val="Table Paragraph"/>
    <w:basedOn w:val="1"/>
    <w:unhideWhenUsed/>
    <w:qFormat/>
    <w:uiPriority w:val="1"/>
    <w:rPr>
      <w:rFonts w:hint="eastAsia"/>
      <w:sz w:val="24"/>
    </w:rPr>
  </w:style>
  <w:style w:type="paragraph" w:customStyle="1" w:styleId="29">
    <w:name w:val="Char"/>
    <w:basedOn w:val="1"/>
    <w:qFormat/>
    <w:uiPriority w:val="0"/>
    <w:pPr>
      <w:numPr>
        <w:ilvl w:val="0"/>
        <w:numId w:val="1"/>
      </w:numPr>
      <w:tabs>
        <w:tab w:val="left" w:pos="252"/>
      </w:tabs>
    </w:pPr>
    <w:rPr>
      <w:sz w:val="24"/>
    </w:rPr>
  </w:style>
  <w:style w:type="paragraph" w:styleId="30">
    <w:name w:val="List Paragraph"/>
    <w:basedOn w:val="1"/>
    <w:qFormat/>
    <w:uiPriority w:val="99"/>
    <w:pPr>
      <w:ind w:firstLine="420" w:firstLineChars="200"/>
    </w:pPr>
  </w:style>
  <w:style w:type="paragraph" w:customStyle="1" w:styleId="31">
    <w:name w:val="Char Char Char Char"/>
    <w:basedOn w:val="1"/>
    <w:qFormat/>
    <w:uiPriority w:val="0"/>
    <w:rPr>
      <w:rFonts w:ascii="Tahoma" w:hAnsi="Tahoma"/>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Char Char Char Char1"/>
    <w:basedOn w:val="1"/>
    <w:qFormat/>
    <w:uiPriority w:val="0"/>
    <w:rPr>
      <w:rFonts w:ascii="Tahoma" w:hAnsi="Tahoma"/>
      <w:sz w:val="24"/>
    </w:rPr>
  </w:style>
  <w:style w:type="paragraph" w:customStyle="1" w:styleId="34">
    <w:name w:val="列表段落1"/>
    <w:basedOn w:val="1"/>
    <w:qFormat/>
    <w:uiPriority w:val="99"/>
    <w:pPr>
      <w:ind w:firstLine="420" w:firstLineChars="200"/>
    </w:pPr>
  </w:style>
  <w:style w:type="paragraph" w:customStyle="1" w:styleId="3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9095</Words>
  <Characters>9782</Characters>
  <Lines>119</Lines>
  <Paragraphs>33</Paragraphs>
  <TotalTime>32</TotalTime>
  <ScaleCrop>false</ScaleCrop>
  <LinksUpToDate>false</LinksUpToDate>
  <CharactersWithSpaces>10162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2023-03-03T06:35:57Z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C750CBA7631E4663AE248E0CA462FBD5</vt:lpwstr>
  </property>
</Properties>
</file>