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江西新腾贝类装饰有限公司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杜梦青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贝壳片：下单→材料出库（贝壳）→切片→平车→精修→漂光→质检→出库</w:t>
            </w:r>
          </w:p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贝壳装饰板：贝壳片加工→密拼挑选→密拼粘贴→修边→打磨→密拼质检→包装→出库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贝壳马赛克: 贝壳片加工→网拼挑选→网拼粘贴 →网拼质检→包装→出库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关键过程及需要确认的过程为：“密拼（网拼）粘贴”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控制方法：</w:t>
            </w:r>
            <w:r>
              <w:rPr>
                <w:rFonts w:hint="eastAsia"/>
                <w:b/>
                <w:sz w:val="20"/>
                <w:lang w:val="en-US" w:eastAsia="zh-CN"/>
              </w:rPr>
              <w:t>1.</w:t>
            </w:r>
            <w:r>
              <w:rPr>
                <w:rFonts w:hint="eastAsia"/>
                <w:b/>
                <w:sz w:val="20"/>
              </w:rPr>
              <w:t>需均匀的刷粘接剂，全方位覆盖；2.控制烘干温度及时间；3.无明显松动脱落。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DB44∕T 1738-2015 珍珠贝壳板材生产技术规范</w:t>
            </w:r>
          </w:p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中华人民共和国安全生产法 </w:t>
            </w:r>
          </w:p>
          <w:p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中华人民共和国计量法2018.10.26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外观、尺寸，无型式试验要求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2" w:name="_GoBack"/>
            <w:r>
              <w:rPr>
                <w:rFonts w:hint="eastAsia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34925</wp:posOffset>
                  </wp:positionV>
                  <wp:extent cx="769620" cy="716280"/>
                  <wp:effectExtent l="0" t="0" r="11430" b="7620"/>
                  <wp:wrapNone/>
                  <wp:docPr id="1" name="图片 1" descr="97ad376bb55cdeeb669d9c91aba6d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ad376bb55cdeeb669d9c91aba6d2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220980</wp:posOffset>
                  </wp:positionV>
                  <wp:extent cx="745490" cy="449580"/>
                  <wp:effectExtent l="0" t="0" r="16510" b="7620"/>
                  <wp:wrapNone/>
                  <wp:docPr id="3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23C2DFC"/>
    <w:rsid w:val="23BE4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419</Words>
  <Characters>478</Characters>
  <Lines>2</Lines>
  <Paragraphs>1</Paragraphs>
  <TotalTime>1</TotalTime>
  <ScaleCrop>false</ScaleCrop>
  <LinksUpToDate>false</LinksUpToDate>
  <CharactersWithSpaces>484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2023-02-27T08:16:32Z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