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text" w:horzAnchor="page" w:tblpX="1079" w:tblpY="66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709" w:type="dxa"/>
            <w:gridSpan w:val="4"/>
            <w:vAlign w:val="center"/>
          </w:tcPr>
          <w:p>
            <w:pPr>
              <w:keepNext w:val="0"/>
              <w:keepLines w:val="0"/>
              <w:pageBreakBefore w:val="0"/>
              <w:widowControl w:val="0"/>
              <w:kinsoku/>
              <w:wordWrap/>
              <w:overflowPunct/>
              <w:topLinePunct w:val="0"/>
              <w:bidi w:val="0"/>
              <w:spacing w:after="0" w:line="240" w:lineRule="auto"/>
              <w:jc w:val="center"/>
              <w:textAlignment w:val="auto"/>
              <w:rPr>
                <w:rFonts w:hint="eastAsia"/>
                <w:sz w:val="21"/>
                <w:szCs w:val="21"/>
              </w:rPr>
            </w:pPr>
            <w:r>
              <w:rPr>
                <w:rFonts w:hint="eastAsia" w:ascii="隶书" w:hAnsi="宋体" w:eastAsia="隶书"/>
                <w:bCs/>
                <w:color w:val="000000"/>
                <w:sz w:val="36"/>
                <w:szCs w:val="36"/>
              </w:rPr>
              <w:t>管理体系审核记录表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bidi w:val="0"/>
              <w:spacing w:before="120" w:after="0" w:line="240" w:lineRule="auto"/>
              <w:jc w:val="center"/>
              <w:textAlignment w:val="auto"/>
              <w:rPr>
                <w:sz w:val="21"/>
                <w:szCs w:val="21"/>
              </w:rPr>
            </w:pPr>
            <w:r>
              <w:rPr>
                <w:rFonts w:hint="eastAsia"/>
                <w:sz w:val="21"/>
                <w:szCs w:val="21"/>
              </w:rPr>
              <w:t>过程与活动、</w:t>
            </w:r>
          </w:p>
          <w:p>
            <w:pPr>
              <w:keepNext w:val="0"/>
              <w:keepLines w:val="0"/>
              <w:pageBreakBefore w:val="0"/>
              <w:widowControl w:val="0"/>
              <w:kinsoku/>
              <w:wordWrap/>
              <w:overflowPunct/>
              <w:topLinePunct w:val="0"/>
              <w:bidi w:val="0"/>
              <w:spacing w:after="0" w:line="240" w:lineRule="auto"/>
              <w:jc w:val="center"/>
              <w:textAlignment w:val="auto"/>
              <w:rPr>
                <w:sz w:val="21"/>
                <w:szCs w:val="21"/>
              </w:rPr>
            </w:pPr>
            <w:r>
              <w:rPr>
                <w:rFonts w:hint="eastAsia"/>
                <w:sz w:val="21"/>
                <w:szCs w:val="21"/>
              </w:rPr>
              <w:t>抽样计划</w:t>
            </w:r>
          </w:p>
        </w:tc>
        <w:tc>
          <w:tcPr>
            <w:tcW w:w="960" w:type="dxa"/>
            <w:vMerge w:val="restart"/>
            <w:vAlign w:val="center"/>
          </w:tcPr>
          <w:p>
            <w:pPr>
              <w:keepNext w:val="0"/>
              <w:keepLines w:val="0"/>
              <w:pageBreakBefore w:val="0"/>
              <w:widowControl w:val="0"/>
              <w:kinsoku/>
              <w:wordWrap/>
              <w:overflowPunct/>
              <w:topLinePunct w:val="0"/>
              <w:bidi w:val="0"/>
              <w:spacing w:after="0" w:line="240" w:lineRule="auto"/>
              <w:textAlignment w:val="auto"/>
              <w:rPr>
                <w:sz w:val="21"/>
                <w:szCs w:val="21"/>
              </w:rPr>
            </w:pPr>
            <w:r>
              <w:rPr>
                <w:rFonts w:hint="eastAsia"/>
                <w:sz w:val="21"/>
                <w:szCs w:val="21"/>
              </w:rPr>
              <w:t>涉及</w:t>
            </w:r>
          </w:p>
          <w:p>
            <w:pPr>
              <w:keepNext w:val="0"/>
              <w:keepLines w:val="0"/>
              <w:pageBreakBefore w:val="0"/>
              <w:widowControl w:val="0"/>
              <w:kinsoku/>
              <w:wordWrap/>
              <w:overflowPunct/>
              <w:topLinePunct w:val="0"/>
              <w:bidi w:val="0"/>
              <w:spacing w:after="0" w:line="240" w:lineRule="auto"/>
              <w:textAlignment w:val="auto"/>
              <w:rPr>
                <w:sz w:val="21"/>
                <w:szCs w:val="21"/>
              </w:rPr>
            </w:pPr>
            <w:r>
              <w:rPr>
                <w:rFonts w:hint="eastAsia"/>
                <w:sz w:val="21"/>
                <w:szCs w:val="21"/>
              </w:rPr>
              <w:t>条款</w:t>
            </w:r>
          </w:p>
        </w:tc>
        <w:tc>
          <w:tcPr>
            <w:tcW w:w="10004" w:type="dxa"/>
            <w:vAlign w:val="center"/>
          </w:tcPr>
          <w:p>
            <w:pPr>
              <w:keepNext w:val="0"/>
              <w:keepLines w:val="0"/>
              <w:pageBreakBefore w:val="0"/>
              <w:widowControl w:val="0"/>
              <w:kinsoku/>
              <w:wordWrap/>
              <w:overflowPunct/>
              <w:topLinePunct w:val="0"/>
              <w:bidi w:val="0"/>
              <w:spacing w:after="0" w:line="240" w:lineRule="auto"/>
              <w:textAlignment w:val="auto"/>
              <w:rPr>
                <w:rFonts w:hint="default" w:eastAsia="宋体"/>
                <w:sz w:val="21"/>
                <w:szCs w:val="21"/>
                <w:lang w:val="en-US" w:eastAsia="zh-CN"/>
              </w:rPr>
            </w:pPr>
            <w:r>
              <w:rPr>
                <w:rFonts w:hint="eastAsia"/>
                <w:sz w:val="21"/>
                <w:szCs w:val="21"/>
              </w:rPr>
              <w:t>受审核部门：领导层</w:t>
            </w:r>
            <w:r>
              <w:rPr>
                <w:sz w:val="21"/>
                <w:szCs w:val="21"/>
              </w:rPr>
              <w:t xml:space="preserve">    </w:t>
            </w:r>
            <w:r>
              <w:rPr>
                <w:rFonts w:hint="eastAsia"/>
                <w:color w:val="auto"/>
                <w:sz w:val="21"/>
                <w:szCs w:val="21"/>
              </w:rPr>
              <w:t xml:space="preserve">   主管领导：</w:t>
            </w:r>
            <w:r>
              <w:rPr>
                <w:rFonts w:hint="eastAsia"/>
                <w:color w:val="auto"/>
                <w:sz w:val="21"/>
                <w:szCs w:val="21"/>
                <w:lang w:eastAsia="zh-CN"/>
              </w:rPr>
              <w:t>狄庆华</w:t>
            </w:r>
            <w:r>
              <w:rPr>
                <w:rFonts w:hint="eastAsia"/>
                <w:color w:val="auto"/>
                <w:sz w:val="21"/>
                <w:szCs w:val="21"/>
                <w:lang w:val="en-US" w:eastAsia="zh-CN"/>
              </w:rPr>
              <w:t xml:space="preserve">           </w:t>
            </w:r>
            <w:r>
              <w:rPr>
                <w:rFonts w:hint="eastAsia"/>
                <w:color w:val="000000"/>
                <w:sz w:val="24"/>
                <w:szCs w:val="24"/>
              </w:rPr>
              <w:t>陪同人员：刘金福</w:t>
            </w:r>
          </w:p>
        </w:tc>
        <w:tc>
          <w:tcPr>
            <w:tcW w:w="1585" w:type="dxa"/>
            <w:vMerge w:val="restart"/>
            <w:vAlign w:val="center"/>
          </w:tcPr>
          <w:p>
            <w:pPr>
              <w:keepNext w:val="0"/>
              <w:keepLines w:val="0"/>
              <w:pageBreakBefore w:val="0"/>
              <w:widowControl w:val="0"/>
              <w:kinsoku/>
              <w:wordWrap/>
              <w:overflowPunct/>
              <w:topLinePunct w:val="0"/>
              <w:bidi w:val="0"/>
              <w:spacing w:after="0" w:line="240" w:lineRule="auto"/>
              <w:textAlignment w:val="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bidi w:val="0"/>
              <w:spacing w:after="0" w:line="240" w:lineRule="auto"/>
              <w:textAlignment w:val="auto"/>
              <w:rPr>
                <w:sz w:val="21"/>
                <w:szCs w:val="21"/>
              </w:rPr>
            </w:pPr>
          </w:p>
        </w:tc>
        <w:tc>
          <w:tcPr>
            <w:tcW w:w="960" w:type="dxa"/>
            <w:vMerge w:val="continue"/>
            <w:vAlign w:val="center"/>
          </w:tcPr>
          <w:p>
            <w:pPr>
              <w:keepNext w:val="0"/>
              <w:keepLines w:val="0"/>
              <w:pageBreakBefore w:val="0"/>
              <w:widowControl w:val="0"/>
              <w:kinsoku/>
              <w:wordWrap/>
              <w:overflowPunct/>
              <w:topLinePunct w:val="0"/>
              <w:bidi w:val="0"/>
              <w:spacing w:after="0" w:line="240" w:lineRule="auto"/>
              <w:textAlignment w:val="auto"/>
              <w:rPr>
                <w:sz w:val="21"/>
                <w:szCs w:val="21"/>
              </w:rPr>
            </w:pPr>
          </w:p>
        </w:tc>
        <w:tc>
          <w:tcPr>
            <w:tcW w:w="10004" w:type="dxa"/>
            <w:vAlign w:val="center"/>
          </w:tcPr>
          <w:p>
            <w:pPr>
              <w:keepNext w:val="0"/>
              <w:keepLines w:val="0"/>
              <w:pageBreakBefore w:val="0"/>
              <w:widowControl w:val="0"/>
              <w:kinsoku/>
              <w:wordWrap/>
              <w:overflowPunct/>
              <w:topLinePunct w:val="0"/>
              <w:bidi w:val="0"/>
              <w:spacing w:before="120" w:after="0" w:line="240" w:lineRule="auto"/>
              <w:textAlignment w:val="auto"/>
              <w:rPr>
                <w:sz w:val="21"/>
                <w:szCs w:val="21"/>
              </w:rPr>
            </w:pPr>
            <w:r>
              <w:rPr>
                <w:rFonts w:hint="eastAsia"/>
                <w:sz w:val="21"/>
                <w:szCs w:val="21"/>
              </w:rPr>
              <w:t>审核员：</w:t>
            </w:r>
            <w:r>
              <w:rPr>
                <w:rFonts w:hint="eastAsia"/>
                <w:sz w:val="21"/>
                <w:szCs w:val="21"/>
                <w:lang w:eastAsia="zh-CN"/>
              </w:rPr>
              <w:t>赵丽萍</w:t>
            </w:r>
            <w:r>
              <w:rPr>
                <w:rFonts w:hint="eastAsia"/>
                <w:sz w:val="21"/>
                <w:szCs w:val="21"/>
              </w:rPr>
              <w:t xml:space="preserve">     </w:t>
            </w:r>
            <w:r>
              <w:rPr>
                <w:sz w:val="21"/>
                <w:szCs w:val="21"/>
              </w:rPr>
              <w:t xml:space="preserve">     </w:t>
            </w:r>
            <w:r>
              <w:rPr>
                <w:rFonts w:hint="eastAsia"/>
                <w:sz w:val="21"/>
                <w:szCs w:val="21"/>
              </w:rPr>
              <w:t>审核日期：</w:t>
            </w:r>
            <w:r>
              <w:rPr>
                <w:rFonts w:hint="eastAsia"/>
                <w:sz w:val="21"/>
                <w:szCs w:val="21"/>
                <w:lang w:eastAsia="zh-CN"/>
              </w:rPr>
              <w:t>202</w:t>
            </w:r>
            <w:r>
              <w:rPr>
                <w:rFonts w:hint="eastAsia"/>
                <w:sz w:val="21"/>
                <w:szCs w:val="21"/>
                <w:lang w:val="en-US" w:eastAsia="zh-CN"/>
              </w:rPr>
              <w:t>3</w:t>
            </w:r>
            <w:r>
              <w:rPr>
                <w:rFonts w:hint="eastAsia"/>
                <w:sz w:val="21"/>
                <w:szCs w:val="21"/>
                <w:lang w:eastAsia="zh-CN"/>
              </w:rPr>
              <w:t>年2月</w:t>
            </w:r>
            <w:r>
              <w:rPr>
                <w:rFonts w:hint="eastAsia"/>
                <w:sz w:val="21"/>
                <w:szCs w:val="21"/>
                <w:lang w:val="en-US" w:eastAsia="zh-CN"/>
              </w:rPr>
              <w:t>24</w:t>
            </w:r>
            <w:r>
              <w:rPr>
                <w:rFonts w:hint="eastAsia"/>
                <w:sz w:val="21"/>
                <w:szCs w:val="21"/>
                <w:lang w:eastAsia="zh-CN"/>
              </w:rPr>
              <w:t>日</w:t>
            </w:r>
            <w:r>
              <w:rPr>
                <w:rFonts w:hint="eastAsia"/>
                <w:sz w:val="21"/>
                <w:szCs w:val="21"/>
              </w:rPr>
              <w:t xml:space="preserve"> </w:t>
            </w:r>
            <w:r>
              <w:rPr>
                <w:sz w:val="21"/>
                <w:szCs w:val="21"/>
              </w:rPr>
              <w:t xml:space="preserve"> </w:t>
            </w:r>
          </w:p>
        </w:tc>
        <w:tc>
          <w:tcPr>
            <w:tcW w:w="1585" w:type="dxa"/>
            <w:vMerge w:val="continue"/>
          </w:tcPr>
          <w:p>
            <w:pPr>
              <w:keepNext w:val="0"/>
              <w:keepLines w:val="0"/>
              <w:pageBreakBefore w:val="0"/>
              <w:widowControl w:val="0"/>
              <w:kinsoku/>
              <w:wordWrap/>
              <w:overflowPunct/>
              <w:topLinePunct w:val="0"/>
              <w:bidi w:val="0"/>
              <w:spacing w:after="0" w:line="24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bidi w:val="0"/>
              <w:spacing w:after="0" w:line="240" w:lineRule="auto"/>
              <w:textAlignment w:val="auto"/>
              <w:rPr>
                <w:sz w:val="21"/>
                <w:szCs w:val="21"/>
              </w:rPr>
            </w:pPr>
          </w:p>
        </w:tc>
        <w:tc>
          <w:tcPr>
            <w:tcW w:w="960" w:type="dxa"/>
            <w:vMerge w:val="continue"/>
            <w:vAlign w:val="center"/>
          </w:tcPr>
          <w:p>
            <w:pPr>
              <w:keepNext w:val="0"/>
              <w:keepLines w:val="0"/>
              <w:pageBreakBefore w:val="0"/>
              <w:widowControl w:val="0"/>
              <w:kinsoku/>
              <w:wordWrap/>
              <w:overflowPunct/>
              <w:topLinePunct w:val="0"/>
              <w:bidi w:val="0"/>
              <w:spacing w:after="0" w:line="240" w:lineRule="auto"/>
              <w:textAlignment w:val="auto"/>
              <w:rPr>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审核条款：</w:t>
            </w:r>
          </w:p>
          <w:p>
            <w:pPr>
              <w:tabs>
                <w:tab w:val="left" w:pos="709"/>
              </w:tabs>
              <w:ind w:right="57"/>
              <w:jc w:val="both"/>
              <w:rPr>
                <w:sz w:val="21"/>
                <w:szCs w:val="21"/>
              </w:rPr>
            </w:pPr>
            <w:r>
              <w:rPr>
                <w:rFonts w:hint="eastAsia"/>
                <w:sz w:val="21"/>
                <w:szCs w:val="21"/>
              </w:rPr>
              <w:t>Q</w:t>
            </w:r>
            <w:r>
              <w:rPr>
                <w:rFonts w:hint="eastAsia"/>
                <w:sz w:val="21"/>
                <w:szCs w:val="21"/>
                <w:lang w:val="en-US" w:eastAsia="zh-CN"/>
              </w:rPr>
              <w:t>:</w:t>
            </w:r>
            <w:r>
              <w:rPr>
                <w:rFonts w:hint="eastAsia"/>
                <w:sz w:val="21"/>
                <w:szCs w:val="21"/>
              </w:rPr>
              <w:t>4.1</w:t>
            </w:r>
            <w:r>
              <w:rPr>
                <w:rFonts w:hint="eastAsia"/>
                <w:sz w:val="21"/>
                <w:szCs w:val="21"/>
                <w:lang w:val="en-US" w:eastAsia="zh-CN"/>
              </w:rPr>
              <w:t>/</w:t>
            </w:r>
            <w:r>
              <w:rPr>
                <w:rFonts w:hint="eastAsia"/>
                <w:sz w:val="21"/>
                <w:szCs w:val="21"/>
              </w:rPr>
              <w:t>4.2</w:t>
            </w:r>
            <w:r>
              <w:rPr>
                <w:rFonts w:hint="eastAsia"/>
                <w:sz w:val="21"/>
                <w:szCs w:val="21"/>
                <w:lang w:val="en-US" w:eastAsia="zh-CN"/>
              </w:rPr>
              <w:t>/</w:t>
            </w:r>
            <w:r>
              <w:rPr>
                <w:rFonts w:hint="eastAsia"/>
                <w:sz w:val="21"/>
                <w:szCs w:val="21"/>
              </w:rPr>
              <w:t>4.3</w:t>
            </w:r>
            <w:r>
              <w:rPr>
                <w:rFonts w:hint="eastAsia"/>
                <w:sz w:val="21"/>
                <w:szCs w:val="21"/>
                <w:lang w:val="en-US" w:eastAsia="zh-CN"/>
              </w:rPr>
              <w:t>/</w:t>
            </w:r>
            <w:r>
              <w:rPr>
                <w:rFonts w:hint="eastAsia"/>
                <w:sz w:val="21"/>
                <w:szCs w:val="21"/>
              </w:rPr>
              <w:t>4.4</w:t>
            </w:r>
            <w:r>
              <w:rPr>
                <w:rFonts w:hint="eastAsia"/>
                <w:sz w:val="21"/>
                <w:szCs w:val="21"/>
                <w:lang w:val="en-US" w:eastAsia="zh-CN"/>
              </w:rPr>
              <w:t>/</w:t>
            </w:r>
            <w:r>
              <w:rPr>
                <w:sz w:val="21"/>
                <w:szCs w:val="21"/>
              </w:rPr>
              <w:t>5.1</w:t>
            </w:r>
            <w:r>
              <w:rPr>
                <w:rFonts w:hint="eastAsia"/>
                <w:sz w:val="21"/>
                <w:szCs w:val="21"/>
                <w:lang w:val="en-US" w:eastAsia="zh-CN"/>
              </w:rPr>
              <w:t>/</w:t>
            </w:r>
            <w:r>
              <w:rPr>
                <w:sz w:val="21"/>
                <w:szCs w:val="21"/>
              </w:rPr>
              <w:t>5.2</w:t>
            </w:r>
            <w:r>
              <w:rPr>
                <w:rFonts w:hint="eastAsia"/>
                <w:sz w:val="21"/>
                <w:szCs w:val="21"/>
                <w:lang w:val="en-US" w:eastAsia="zh-CN"/>
              </w:rPr>
              <w:t>/</w:t>
            </w:r>
            <w:r>
              <w:rPr>
                <w:sz w:val="21"/>
                <w:szCs w:val="21"/>
              </w:rPr>
              <w:t>5.3</w:t>
            </w:r>
            <w:r>
              <w:rPr>
                <w:rFonts w:hint="eastAsia"/>
                <w:sz w:val="21"/>
                <w:szCs w:val="21"/>
                <w:lang w:val="en-US" w:eastAsia="zh-CN"/>
              </w:rPr>
              <w:t>/6.1/6.2/</w:t>
            </w:r>
            <w:r>
              <w:rPr>
                <w:sz w:val="21"/>
                <w:szCs w:val="21"/>
              </w:rPr>
              <w:t>6.3</w:t>
            </w:r>
            <w:r>
              <w:rPr>
                <w:rFonts w:hint="eastAsia"/>
                <w:sz w:val="21"/>
                <w:szCs w:val="21"/>
                <w:lang w:val="en-US" w:eastAsia="zh-CN"/>
              </w:rPr>
              <w:t>/</w:t>
            </w:r>
            <w:r>
              <w:rPr>
                <w:sz w:val="21"/>
                <w:szCs w:val="21"/>
              </w:rPr>
              <w:t>7</w:t>
            </w:r>
            <w:r>
              <w:rPr>
                <w:rFonts w:hint="eastAsia"/>
                <w:sz w:val="21"/>
                <w:szCs w:val="21"/>
                <w:lang w:val="en-US" w:eastAsia="zh-CN"/>
              </w:rPr>
              <w:t>.1.1/9.1.1/9.3/10.1/10.3</w:t>
            </w:r>
          </w:p>
        </w:tc>
        <w:tc>
          <w:tcPr>
            <w:tcW w:w="1585" w:type="dxa"/>
            <w:vMerge w:val="continue"/>
          </w:tcPr>
          <w:p>
            <w:pPr>
              <w:keepNext w:val="0"/>
              <w:keepLines w:val="0"/>
              <w:pageBreakBefore w:val="0"/>
              <w:widowControl w:val="0"/>
              <w:kinsoku/>
              <w:wordWrap/>
              <w:overflowPunct/>
              <w:topLinePunct w:val="0"/>
              <w:bidi w:val="0"/>
              <w:spacing w:after="0" w:line="24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rFonts w:ascii="Times New Roman" w:hAnsi="Times New Roman" w:eastAsia="宋体" w:cs="Times New Roman"/>
                <w:kern w:val="2"/>
                <w:sz w:val="21"/>
                <w:szCs w:val="21"/>
                <w:lang w:val="en-US" w:eastAsia="zh-CN" w:bidi="ar-SA"/>
              </w:rPr>
            </w:pPr>
            <w:r>
              <w:rPr>
                <w:rFonts w:hint="eastAsia"/>
                <w:sz w:val="21"/>
                <w:szCs w:val="21"/>
              </w:rPr>
              <w:t>理解组织及其环境</w:t>
            </w: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ascii="Times New Roman" w:hAnsi="Times New Roman" w:eastAsia="宋体" w:cs="Times New Roman"/>
                <w:kern w:val="2"/>
                <w:sz w:val="21"/>
                <w:szCs w:val="21"/>
                <w:lang w:val="en-US" w:eastAsia="zh-CN" w:bidi="ar-SA"/>
              </w:rPr>
            </w:pPr>
            <w:r>
              <w:rPr>
                <w:rFonts w:hint="eastAsia"/>
                <w:sz w:val="21"/>
                <w:szCs w:val="21"/>
              </w:rPr>
              <w:t>Q</w:t>
            </w:r>
            <w:r>
              <w:rPr>
                <w:sz w:val="21"/>
                <w:szCs w:val="21"/>
              </w:rPr>
              <w:t xml:space="preserve"> </w:t>
            </w:r>
            <w:r>
              <w:rPr>
                <w:rFonts w:hint="eastAsia"/>
                <w:sz w:val="21"/>
                <w:szCs w:val="21"/>
              </w:rPr>
              <w:t xml:space="preserve">4.1 </w:t>
            </w:r>
          </w:p>
        </w:tc>
        <w:tc>
          <w:tcPr>
            <w:tcW w:w="10004" w:type="dxa"/>
            <w:vAlign w:val="center"/>
          </w:tcPr>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通</w:t>
            </w:r>
            <w:r>
              <w:rPr>
                <w:rFonts w:hint="eastAsia" w:asciiTheme="minorEastAsia" w:hAnsiTheme="minorEastAsia" w:eastAsiaTheme="minorEastAsia" w:cstheme="minorEastAsia"/>
                <w:color w:val="auto"/>
                <w:sz w:val="21"/>
                <w:szCs w:val="21"/>
                <w:lang w:val="en-US" w:eastAsia="zh-CN"/>
              </w:rPr>
              <w:t>过查阅资料及和总经理沟通了解到：</w:t>
            </w:r>
          </w:p>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总经理：</w:t>
            </w:r>
            <w:r>
              <w:rPr>
                <w:rFonts w:hint="eastAsia" w:asciiTheme="minorEastAsia" w:hAnsiTheme="minorEastAsia" w:eastAsiaTheme="minorEastAsia" w:cstheme="minorEastAsia"/>
                <w:color w:val="auto"/>
                <w:sz w:val="21"/>
                <w:szCs w:val="21"/>
                <w:lang w:eastAsia="zh-CN"/>
              </w:rPr>
              <w:t>狄庆华</w:t>
            </w:r>
            <w:r>
              <w:rPr>
                <w:rFonts w:hint="eastAsia" w:asciiTheme="minorEastAsia" w:hAnsiTheme="minorEastAsia" w:eastAsiaTheme="minorEastAsia" w:cstheme="minorEastAsia"/>
                <w:color w:val="auto"/>
                <w:sz w:val="21"/>
                <w:szCs w:val="21"/>
              </w:rPr>
              <w:t xml:space="preserve"> 管代：</w:t>
            </w:r>
            <w:r>
              <w:rPr>
                <w:rFonts w:hint="eastAsia" w:asciiTheme="minorEastAsia" w:hAnsiTheme="minorEastAsia" w:eastAsiaTheme="minorEastAsia" w:cstheme="minorEastAsia"/>
                <w:color w:val="auto"/>
                <w:sz w:val="21"/>
                <w:szCs w:val="21"/>
                <w:lang w:eastAsia="zh-CN"/>
              </w:rPr>
              <w:t>杨东敏</w:t>
            </w:r>
            <w:r>
              <w:rPr>
                <w:rFonts w:hint="eastAsia" w:asciiTheme="minorEastAsia" w:hAnsiTheme="minorEastAsia" w:eastAsiaTheme="minorEastAsia" w:cstheme="minorEastAsia"/>
                <w:color w:val="auto"/>
                <w:sz w:val="21"/>
                <w:szCs w:val="21"/>
                <w:lang w:val="en-US" w:eastAsia="zh-CN"/>
              </w:rPr>
              <w:t xml:space="preserve">  </w:t>
            </w:r>
          </w:p>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－－企业注册/</w:t>
            </w:r>
            <w:r>
              <w:rPr>
                <w:rFonts w:hint="eastAsia" w:asciiTheme="minorEastAsia" w:hAnsiTheme="minorEastAsia" w:eastAsiaTheme="minorEastAsia" w:cstheme="minorEastAsia"/>
                <w:sz w:val="21"/>
                <w:szCs w:val="21"/>
                <w:lang w:val="en-US" w:eastAsia="zh-CN"/>
              </w:rPr>
              <w:t>经营地位于</w:t>
            </w:r>
            <w:bookmarkStart w:id="0" w:name="生产地址"/>
            <w:r>
              <w:rPr>
                <w:rFonts w:hint="eastAsia" w:asciiTheme="minorEastAsia" w:hAnsiTheme="minorEastAsia" w:eastAsiaTheme="minorEastAsia" w:cstheme="minorEastAsia"/>
                <w:sz w:val="21"/>
                <w:szCs w:val="21"/>
              </w:rPr>
              <w:t>河北省衡水市冀州区兴华南大街1598号</w:t>
            </w:r>
            <w:bookmarkEnd w:id="0"/>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企业位于工业园区内。</w:t>
            </w:r>
          </w:p>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提供了厂房（包括生产设备、检测设备）租赁协议。提供了营业执照，资质文件有效</w:t>
            </w:r>
            <w:bookmarkStart w:id="6" w:name="_GoBack"/>
            <w:bookmarkEnd w:id="6"/>
          </w:p>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jc w:val="left"/>
              <w:textAlignment w:val="auto"/>
              <w:rPr>
                <w:rFonts w:hint="eastAsia"/>
                <w:sz w:val="21"/>
                <w:szCs w:val="21"/>
              </w:rPr>
            </w:pPr>
            <w:r>
              <w:rPr>
                <w:rFonts w:hint="eastAsia" w:asciiTheme="minorEastAsia" w:hAnsiTheme="minorEastAsia" w:eastAsiaTheme="minorEastAsia" w:cstheme="minorEastAsia"/>
                <w:sz w:val="21"/>
                <w:szCs w:val="21"/>
                <w:lang w:val="en-US" w:eastAsia="zh-CN"/>
              </w:rPr>
              <w:t>－－与总经理沟通，</w:t>
            </w:r>
            <w:r>
              <w:rPr>
                <w:rFonts w:hint="eastAsia" w:asciiTheme="minorEastAsia" w:hAnsiTheme="minorEastAsia" w:eastAsiaTheme="minorEastAsia" w:cstheme="minorEastAsia"/>
                <w:sz w:val="21"/>
                <w:szCs w:val="21"/>
              </w:rPr>
              <w:t>公司领导层确定外部和内部与公司的宗旨、战略方向有关、影响质量管理体系实现预期结果的能力的因素。外部因素考虑：国际、国内、地区和当地的各种法律法规、技术、竞争、文化、社会、经济和自然环境方面（不管是国际、国家、地区或本地）等因素；内部因素考虑：公司的价值观、文化、知识和绩效等因素</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总经理负责组织对确定的内部和外部因素的相关信息进行监视和评审，以确保质量、管理体系与公司的战略方向一致，并实现其预期的结果。</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理解相关方的需求和期望</w:t>
            </w: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 xml:space="preserve">Q4.2 </w:t>
            </w:r>
          </w:p>
        </w:tc>
        <w:tc>
          <w:tcPr>
            <w:tcW w:w="10004" w:type="dxa"/>
            <w:vAlign w:val="center"/>
          </w:tcPr>
          <w:p>
            <w:pPr>
              <w:keepNext w:val="0"/>
              <w:keepLines w:val="0"/>
              <w:pageBreakBefore w:val="0"/>
              <w:widowControl w:val="0"/>
              <w:kinsoku/>
              <w:wordWrap/>
              <w:overflowPunct/>
              <w:topLinePunct w:val="0"/>
              <w:autoSpaceDE w:val="0"/>
              <w:autoSpaceDN w:val="0"/>
              <w:bidi w:val="0"/>
              <w:adjustRightIn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总经理及管理层在考虑相关方对公司提供符合顾客要求和适用法律法规要求的产品和服务的能力产生影响或潜在影响时，结合公司的实际情况，确定与</w:t>
            </w:r>
            <w:r>
              <w:rPr>
                <w:rFonts w:hint="eastAsia" w:asciiTheme="minorEastAsia" w:hAnsiTheme="minorEastAsia" w:eastAsiaTheme="minorEastAsia" w:cstheme="minorEastAsia"/>
                <w:sz w:val="21"/>
                <w:szCs w:val="21"/>
                <w:lang w:eastAsia="zh-CN"/>
              </w:rPr>
              <w:t>质量</w:t>
            </w:r>
            <w:r>
              <w:rPr>
                <w:rFonts w:hint="eastAsia" w:asciiTheme="minorEastAsia" w:hAnsiTheme="minorEastAsia" w:eastAsiaTheme="minorEastAsia" w:cstheme="minorEastAsia"/>
                <w:sz w:val="21"/>
                <w:szCs w:val="21"/>
              </w:rPr>
              <w:t>管理体系有关的相关方，并确定其要求。公司</w:t>
            </w:r>
            <w:r>
              <w:rPr>
                <w:rFonts w:hint="eastAsia" w:asciiTheme="minorEastAsia" w:hAnsiTheme="minorEastAsia" w:eastAsiaTheme="minorEastAsia" w:cstheme="minorEastAsia"/>
                <w:sz w:val="21"/>
                <w:szCs w:val="21"/>
                <w:lang w:val="en-US" w:eastAsia="zh-CN"/>
              </w:rPr>
              <w:t>按照管理手册要求对相关方的需求和期望进行管理</w:t>
            </w:r>
            <w:r>
              <w:rPr>
                <w:rFonts w:hint="eastAsia" w:asciiTheme="minorEastAsia" w:hAnsiTheme="minorEastAsia" w:eastAsiaTheme="minorEastAsia" w:cstheme="minorEastAsia"/>
                <w:sz w:val="21"/>
                <w:szCs w:val="21"/>
              </w:rPr>
              <w:t xml:space="preserve">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keepNext w:val="0"/>
              <w:keepLines w:val="0"/>
              <w:pageBreakBefore w:val="0"/>
              <w:widowControl w:val="0"/>
              <w:kinsoku/>
              <w:wordWrap/>
              <w:overflowPunct/>
              <w:topLinePunct w:val="0"/>
              <w:autoSpaceDE w:val="0"/>
              <w:autoSpaceDN w:val="0"/>
              <w:bidi w:val="0"/>
              <w:adjustRightInd w:val="0"/>
              <w:spacing w:line="240" w:lineRule="auto"/>
              <w:textAlignment w:val="auto"/>
              <w:rPr>
                <w:rFonts w:hint="eastAsia" w:asciiTheme="minorEastAsia" w:hAnsiTheme="minorEastAsia" w:eastAsiaTheme="minorEastAsia" w:cstheme="minorEastAsia"/>
                <w:sz w:val="21"/>
                <w:szCs w:val="21"/>
              </w:rPr>
            </w:pPr>
            <w:bookmarkStart w:id="1" w:name="_Toc475020125"/>
            <w:bookmarkStart w:id="2" w:name="_Toc475019994"/>
            <w:r>
              <w:rPr>
                <w:rFonts w:hint="eastAsia" w:asciiTheme="minorEastAsia" w:hAnsiTheme="minorEastAsia" w:eastAsiaTheme="minorEastAsia" w:cstheme="minorEastAsia"/>
                <w:sz w:val="21"/>
                <w:szCs w:val="21"/>
              </w:rPr>
              <w:t>与</w:t>
            </w:r>
            <w:r>
              <w:rPr>
                <w:rFonts w:hint="eastAsia" w:asciiTheme="minorEastAsia" w:hAnsiTheme="minorEastAsia" w:eastAsiaTheme="minorEastAsia" w:cstheme="minorEastAsia"/>
                <w:sz w:val="21"/>
                <w:szCs w:val="21"/>
                <w:lang w:eastAsia="zh-CN"/>
              </w:rPr>
              <w:t>质量</w:t>
            </w:r>
            <w:r>
              <w:rPr>
                <w:rFonts w:hint="eastAsia" w:asciiTheme="minorEastAsia" w:hAnsiTheme="minorEastAsia" w:eastAsiaTheme="minorEastAsia" w:cstheme="minorEastAsia"/>
                <w:sz w:val="21"/>
                <w:szCs w:val="21"/>
              </w:rPr>
              <w:t>管理体系有关的相关方</w:t>
            </w:r>
            <w:bookmarkEnd w:id="1"/>
            <w:bookmarkEnd w:id="2"/>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val="0"/>
              <w:autoSpaceDN w:val="0"/>
              <w:bidi w:val="0"/>
              <w:adjustRightIn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公司的相关方包括：顾客、员工、银行、外部供应商、雇员及其他为组织工作者、法律法规及监管机关、非政府组织等。</w:t>
            </w:r>
          </w:p>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公司对这些相关方及其要求的相关信息进行监视和评审，理解和持续满足相关方的需求和期望。</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确定质量管理体系的范围</w:t>
            </w: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Q4.3</w:t>
            </w:r>
          </w:p>
        </w:tc>
        <w:tc>
          <w:tcPr>
            <w:tcW w:w="10004" w:type="dxa"/>
            <w:vAlign w:val="center"/>
          </w:tcPr>
          <w:p>
            <w:pPr>
              <w:keepNext w:val="0"/>
              <w:keepLines w:val="0"/>
              <w:pageBreakBefore w:val="0"/>
              <w:widowControl w:val="0"/>
              <w:kinsoku/>
              <w:wordWrap/>
              <w:overflowPunct/>
              <w:topLinePunct w:val="0"/>
              <w:bidi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公司管理体系范围为：</w:t>
            </w:r>
          </w:p>
          <w:p>
            <w:pPr>
              <w:keepNext w:val="0"/>
              <w:keepLines w:val="0"/>
              <w:pageBreakBefore w:val="0"/>
              <w:widowControl w:val="0"/>
              <w:kinsoku/>
              <w:wordWrap/>
              <w:overflowPunct/>
              <w:topLinePunct w:val="0"/>
              <w:autoSpaceDE w:val="0"/>
              <w:autoSpaceDN w:val="0"/>
              <w:bidi w:val="0"/>
              <w:adjustRightInd w:val="0"/>
              <w:spacing w:line="24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Q：</w:t>
            </w:r>
            <w:r>
              <w:rPr>
                <w:rFonts w:hint="eastAsia" w:asciiTheme="minorEastAsia" w:hAnsiTheme="minorEastAsia" w:eastAsiaTheme="minorEastAsia" w:cstheme="minorEastAsia"/>
                <w:sz w:val="21"/>
                <w:szCs w:val="21"/>
                <w:lang w:eastAsia="zh-CN"/>
              </w:rPr>
              <w:t>联轴器的制造、销售服务</w:t>
            </w:r>
          </w:p>
          <w:p>
            <w:pPr>
              <w:ind w:firstLine="4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w:t>
            </w:r>
            <w:r>
              <w:rPr>
                <w:rFonts w:hint="eastAsia" w:asciiTheme="minorEastAsia" w:hAnsiTheme="minorEastAsia" w:eastAsiaTheme="minorEastAsia" w:cstheme="minorEastAsia"/>
                <w:sz w:val="21"/>
                <w:szCs w:val="21"/>
              </w:rPr>
              <w:t>适用条款</w:t>
            </w:r>
            <w:r>
              <w:rPr>
                <w:rFonts w:hint="eastAsia" w:asciiTheme="minorEastAsia" w:hAnsiTheme="minorEastAsia" w:eastAsiaTheme="minorEastAsia" w:cstheme="minorEastAsia"/>
                <w:sz w:val="21"/>
                <w:szCs w:val="21"/>
                <w:lang w:val="en-US" w:eastAsia="zh-CN"/>
              </w:rPr>
              <w:t>为8.3条款，不适用理由为</w:t>
            </w:r>
            <w:r>
              <w:rPr>
                <w:rFonts w:hint="eastAsia" w:ascii="宋体" w:hAnsi="宋体" w:eastAsia="宋体" w:cs="宋体"/>
                <w:b w:val="0"/>
                <w:bCs/>
              </w:rPr>
              <w:t>公司依据客户图纸和技术文件固定模式下进行生产，质量管理活动不涉及设计与开发，因此ISO9001:2015标准条款8.3设计和开发条款不适用；删减8.3条款不影响公司提供满足顾客和适用法律法规要求的产品的能力和责任的要求。</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质量管理体系及其过程</w:t>
            </w: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 xml:space="preserve">Q4.4 </w:t>
            </w:r>
          </w:p>
        </w:tc>
        <w:tc>
          <w:tcPr>
            <w:tcW w:w="10004" w:type="dxa"/>
            <w:vAlign w:val="center"/>
          </w:tcPr>
          <w:p>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该公司据自身的实际情况和标准的要求组织人员编制了</w:t>
            </w:r>
            <w:r>
              <w:rPr>
                <w:rFonts w:hint="eastAsia" w:asciiTheme="minorEastAsia" w:hAnsiTheme="minorEastAsia" w:eastAsiaTheme="minorEastAsia" w:cstheme="minorEastAsia"/>
                <w:sz w:val="21"/>
                <w:szCs w:val="21"/>
                <w:lang w:val="en-US" w:eastAsia="zh-CN"/>
              </w:rPr>
              <w:t>质量</w:t>
            </w:r>
            <w:r>
              <w:rPr>
                <w:rFonts w:hint="eastAsia" w:asciiTheme="minorEastAsia" w:hAnsiTheme="minorEastAsia" w:eastAsiaTheme="minorEastAsia" w:cstheme="minorEastAsia"/>
                <w:sz w:val="21"/>
                <w:szCs w:val="21"/>
              </w:rPr>
              <w:t>管理手册、作业文件和记录表格，制定了管理方针和管理目标。</w:t>
            </w:r>
          </w:p>
          <w:p>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实施了</w:t>
            </w:r>
            <w:r>
              <w:rPr>
                <w:rFonts w:hint="eastAsia" w:asciiTheme="minorEastAsia" w:hAnsiTheme="minorEastAsia" w:eastAsiaTheme="minorEastAsia" w:cstheme="minorEastAsia"/>
                <w:sz w:val="21"/>
                <w:szCs w:val="21"/>
                <w:lang w:val="en-US" w:eastAsia="zh-CN"/>
              </w:rPr>
              <w:t>质量</w:t>
            </w:r>
            <w:r>
              <w:rPr>
                <w:rFonts w:hint="eastAsia" w:asciiTheme="minorEastAsia" w:hAnsiTheme="minorEastAsia" w:eastAsiaTheme="minorEastAsia" w:cstheme="minorEastAsia"/>
                <w:sz w:val="21"/>
                <w:szCs w:val="21"/>
              </w:rPr>
              <w:t>管理体系，通过对过程检测结果进行分析管理体系得以不断改进。负责人说管理体系运行以来效果不错管理有了一定的提高。对管理目标完成情况进行统计分析，出示202</w:t>
            </w:r>
            <w:r>
              <w:rPr>
                <w:rFonts w:hint="eastAsia" w:asciiTheme="minorEastAsia" w:hAnsiTheme="minorEastAsia" w:eastAsiaTheme="minorEastAsia" w:cstheme="minorEastAsia"/>
                <w:sz w:val="21"/>
                <w:szCs w:val="21"/>
                <w:lang w:val="en-US" w:eastAsia="zh-CN"/>
              </w:rPr>
              <w:t>2-2023</w:t>
            </w:r>
            <w:r>
              <w:rPr>
                <w:rFonts w:hint="eastAsia" w:asciiTheme="minorEastAsia" w:hAnsiTheme="minorEastAsia" w:eastAsiaTheme="minorEastAsia" w:cstheme="minorEastAsia"/>
                <w:sz w:val="21"/>
                <w:szCs w:val="21"/>
              </w:rPr>
              <w:t>年管理目标分解及完成情况记录。</w:t>
            </w:r>
          </w:p>
          <w:p>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与负责人交流：部门确定了满足与管理体系有关的客户及相关方的要求。</w:t>
            </w:r>
          </w:p>
          <w:p>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为能在公司范围内更好的应用质量管理体系及其过程方法，编制</w:t>
            </w:r>
            <w:r>
              <w:rPr>
                <w:rFonts w:hint="eastAsia" w:asciiTheme="minorEastAsia" w:hAnsiTheme="minorEastAsia" w:eastAsiaTheme="minorEastAsia" w:cstheme="minorEastAsia"/>
                <w:sz w:val="21"/>
                <w:szCs w:val="21"/>
                <w:lang w:val="en-US" w:eastAsia="zh-CN"/>
              </w:rPr>
              <w:t>有</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质量</w:t>
            </w:r>
            <w:r>
              <w:rPr>
                <w:rFonts w:hint="eastAsia" w:asciiTheme="minorEastAsia" w:hAnsiTheme="minorEastAsia" w:eastAsiaTheme="minorEastAsia" w:cstheme="minorEastAsia"/>
                <w:sz w:val="21"/>
                <w:szCs w:val="21"/>
              </w:rPr>
              <w:t>管理手册》，作为公司质量管理的纲领性文件；编制</w:t>
            </w:r>
            <w:r>
              <w:rPr>
                <w:rFonts w:hint="eastAsia" w:asciiTheme="minorEastAsia" w:hAnsiTheme="minorEastAsia" w:eastAsiaTheme="minorEastAsia" w:cstheme="minorEastAsia"/>
                <w:sz w:val="21"/>
                <w:szCs w:val="21"/>
                <w:lang w:val="en-US" w:eastAsia="zh-CN"/>
              </w:rPr>
              <w:t>有</w:t>
            </w:r>
            <w:r>
              <w:rPr>
                <w:rFonts w:hint="eastAsia" w:asciiTheme="minorEastAsia" w:hAnsiTheme="minorEastAsia" w:eastAsiaTheme="minorEastAsia" w:cstheme="minorEastAsia"/>
                <w:sz w:val="21"/>
                <w:szCs w:val="21"/>
              </w:rPr>
              <w:t>《程序文件》，说明本公司内部质量体系运行的各过程及其之间的顺序和相互作用；编制各类支持性文件及记录表格等作为证明过程运行的证据。</w:t>
            </w:r>
          </w:p>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基本适宜。</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领导作用与承诺</w:t>
            </w: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Q5.1  </w:t>
            </w:r>
          </w:p>
        </w:tc>
        <w:tc>
          <w:tcPr>
            <w:tcW w:w="10004" w:type="dxa"/>
            <w:vAlign w:val="center"/>
          </w:tcPr>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jc w:val="left"/>
              <w:textAlignment w:val="auto"/>
              <w:rPr>
                <w:rFonts w:hint="eastAsia"/>
                <w:sz w:val="21"/>
                <w:szCs w:val="21"/>
              </w:rPr>
            </w:pPr>
            <w:r>
              <w:rPr>
                <w:rFonts w:hint="eastAsia"/>
                <w:sz w:val="21"/>
                <w:szCs w:val="21"/>
              </w:rPr>
              <w:t>企业最高管理者对管理体系的领导作用和承诺主要通过以下方面体现：</w:t>
            </w:r>
          </w:p>
          <w:p>
            <w:pPr>
              <w:ind w:firstLine="630" w:firstLineChars="300"/>
              <w:rPr>
                <w:rFonts w:ascii="仿宋_GB2312"/>
                <w:szCs w:val="21"/>
              </w:rPr>
            </w:pPr>
            <w:r>
              <w:rPr>
                <w:rFonts w:hint="eastAsia" w:ascii="仿宋_GB2312"/>
                <w:szCs w:val="21"/>
              </w:rPr>
              <w:t>a</w:t>
            </w:r>
            <w:r>
              <w:rPr>
                <w:rFonts w:ascii="仿宋_GB2312"/>
                <w:szCs w:val="21"/>
              </w:rPr>
              <w:t xml:space="preserve">) </w:t>
            </w:r>
            <w:r>
              <w:rPr>
                <w:rFonts w:hint="eastAsia" w:ascii="仿宋_GB2312"/>
                <w:szCs w:val="21"/>
              </w:rPr>
              <w:t>确保质量方针和质量目标得到建立，并与组织的战略方向保持一致；</w:t>
            </w:r>
          </w:p>
          <w:p>
            <w:pPr>
              <w:ind w:firstLine="630" w:firstLineChars="300"/>
              <w:rPr>
                <w:rFonts w:ascii="仿宋_GB2312"/>
                <w:szCs w:val="21"/>
              </w:rPr>
            </w:pPr>
            <w:r>
              <w:rPr>
                <w:rFonts w:hint="eastAsia" w:ascii="仿宋_GB2312"/>
                <w:szCs w:val="21"/>
              </w:rPr>
              <w:t>b) 确保质量方针在组织内得到理解和实施；</w:t>
            </w:r>
          </w:p>
          <w:p>
            <w:pPr>
              <w:ind w:firstLine="630" w:firstLineChars="300"/>
              <w:rPr>
                <w:rFonts w:ascii="仿宋_GB2312"/>
                <w:szCs w:val="21"/>
              </w:rPr>
            </w:pPr>
            <w:r>
              <w:rPr>
                <w:rFonts w:hint="eastAsia" w:ascii="仿宋_GB2312"/>
                <w:szCs w:val="21"/>
              </w:rPr>
              <w:t>c) 确保质量管理体系要求融入于组织的业务运作；</w:t>
            </w:r>
          </w:p>
          <w:p>
            <w:pPr>
              <w:ind w:firstLine="630" w:firstLineChars="300"/>
              <w:rPr>
                <w:rFonts w:ascii="仿宋_GB2312"/>
                <w:szCs w:val="21"/>
              </w:rPr>
            </w:pPr>
            <w:r>
              <w:rPr>
                <w:rFonts w:hint="eastAsia" w:ascii="仿宋_GB2312"/>
                <w:szCs w:val="21"/>
              </w:rPr>
              <w:t>d) 提高过程方法的意识；</w:t>
            </w:r>
          </w:p>
          <w:p>
            <w:pPr>
              <w:ind w:firstLine="630" w:firstLineChars="300"/>
              <w:rPr>
                <w:rFonts w:ascii="仿宋_GB2312" w:hAnsi="宋体"/>
                <w:szCs w:val="21"/>
              </w:rPr>
            </w:pPr>
            <w:r>
              <w:rPr>
                <w:rFonts w:hint="eastAsia" w:ascii="仿宋_GB2312"/>
                <w:szCs w:val="21"/>
              </w:rPr>
              <w:t xml:space="preserve">e) </w:t>
            </w:r>
            <w:r>
              <w:rPr>
                <w:rFonts w:hint="eastAsia" w:ascii="仿宋_GB2312" w:hAnsi="宋体"/>
                <w:szCs w:val="21"/>
              </w:rPr>
              <w:t>确保质量管理体系所需资源的获得；</w:t>
            </w:r>
          </w:p>
          <w:p>
            <w:pPr>
              <w:ind w:firstLine="630" w:firstLineChars="300"/>
              <w:rPr>
                <w:rFonts w:ascii="仿宋_GB2312" w:hAnsi="宋体"/>
                <w:szCs w:val="21"/>
              </w:rPr>
            </w:pPr>
            <w:r>
              <w:rPr>
                <w:rFonts w:hint="eastAsia" w:ascii="仿宋_GB2312" w:hAnsi="宋体"/>
                <w:szCs w:val="21"/>
              </w:rPr>
              <w:t>f</w:t>
            </w:r>
            <w:r>
              <w:rPr>
                <w:rFonts w:ascii="仿宋_GB2312" w:hAnsi="宋体"/>
                <w:szCs w:val="21"/>
              </w:rPr>
              <w:t xml:space="preserve">) </w:t>
            </w:r>
            <w:r>
              <w:rPr>
                <w:rFonts w:hint="eastAsia" w:ascii="仿宋_GB2312" w:hAnsi="宋体"/>
                <w:szCs w:val="21"/>
              </w:rPr>
              <w:t>传达有效的质量管理以及满足质量管理体系、产品和服务要求的重要性；</w:t>
            </w:r>
          </w:p>
          <w:p>
            <w:pPr>
              <w:ind w:firstLine="630" w:firstLineChars="300"/>
              <w:rPr>
                <w:rFonts w:ascii="仿宋_GB2312" w:hAnsi="宋体"/>
                <w:szCs w:val="21"/>
              </w:rPr>
            </w:pPr>
            <w:r>
              <w:rPr>
                <w:rFonts w:hint="eastAsia" w:ascii="仿宋_GB2312" w:hAnsi="宋体"/>
                <w:szCs w:val="21"/>
              </w:rPr>
              <w:t>g</w:t>
            </w:r>
            <w:r>
              <w:rPr>
                <w:rFonts w:ascii="仿宋_GB2312" w:hAnsi="宋体"/>
                <w:szCs w:val="21"/>
              </w:rPr>
              <w:t xml:space="preserve">) </w:t>
            </w:r>
            <w:r>
              <w:rPr>
                <w:rFonts w:hint="eastAsia" w:ascii="仿宋_GB2312" w:hAnsi="宋体"/>
                <w:szCs w:val="21"/>
              </w:rPr>
              <w:t>确保质量管理体系实现预期的输出；</w:t>
            </w:r>
          </w:p>
          <w:p>
            <w:pPr>
              <w:ind w:firstLine="630" w:firstLineChars="300"/>
              <w:rPr>
                <w:rFonts w:ascii="仿宋_GB2312" w:hAnsi="宋体"/>
                <w:szCs w:val="21"/>
              </w:rPr>
            </w:pPr>
            <w:r>
              <w:rPr>
                <w:rFonts w:hint="eastAsia" w:ascii="仿宋_GB2312" w:hAnsi="宋体"/>
                <w:szCs w:val="21"/>
              </w:rPr>
              <w:t>h</w:t>
            </w:r>
            <w:r>
              <w:rPr>
                <w:rFonts w:ascii="仿宋_GB2312" w:hAnsi="宋体"/>
                <w:szCs w:val="21"/>
              </w:rPr>
              <w:t xml:space="preserve">) </w:t>
            </w:r>
            <w:r>
              <w:rPr>
                <w:rFonts w:hint="eastAsia" w:ascii="仿宋_GB2312" w:hAnsi="宋体"/>
                <w:szCs w:val="21"/>
              </w:rPr>
              <w:t>吸纳、指导和支持员工参与对质量管理体系的有效性做出贡献；</w:t>
            </w:r>
          </w:p>
          <w:p>
            <w:pPr>
              <w:ind w:firstLine="630" w:firstLineChars="300"/>
              <w:rPr>
                <w:rFonts w:ascii="仿宋_GB2312" w:hAnsi="宋体"/>
                <w:szCs w:val="21"/>
              </w:rPr>
            </w:pPr>
            <w:r>
              <w:rPr>
                <w:rFonts w:hint="eastAsia" w:ascii="仿宋_GB2312" w:hAnsi="宋体"/>
                <w:szCs w:val="21"/>
              </w:rPr>
              <w:t>i</w:t>
            </w:r>
            <w:r>
              <w:rPr>
                <w:rFonts w:ascii="仿宋_GB2312" w:hAnsi="宋体"/>
                <w:szCs w:val="21"/>
              </w:rPr>
              <w:t xml:space="preserve">) </w:t>
            </w:r>
            <w:r>
              <w:rPr>
                <w:rFonts w:hint="eastAsia" w:ascii="仿宋_GB2312" w:hAnsi="宋体"/>
                <w:szCs w:val="21"/>
              </w:rPr>
              <w:t>增强持续改进和创新；</w:t>
            </w:r>
          </w:p>
          <w:p>
            <w:pPr>
              <w:ind w:firstLine="630" w:firstLineChars="300"/>
              <w:rPr>
                <w:rFonts w:hint="eastAsia"/>
                <w:sz w:val="21"/>
                <w:szCs w:val="21"/>
                <w:lang w:val="en-US" w:eastAsia="zh-CN"/>
              </w:rPr>
            </w:pPr>
            <w:r>
              <w:rPr>
                <w:rFonts w:hint="eastAsia" w:ascii="仿宋_GB2312" w:hAnsi="宋体"/>
                <w:szCs w:val="21"/>
              </w:rPr>
              <w:t>j</w:t>
            </w:r>
            <w:r>
              <w:rPr>
                <w:rFonts w:ascii="仿宋_GB2312" w:hAnsi="宋体"/>
                <w:szCs w:val="21"/>
              </w:rPr>
              <w:t xml:space="preserve">) </w:t>
            </w:r>
            <w:r>
              <w:rPr>
                <w:rFonts w:hint="eastAsia" w:ascii="仿宋_GB2312" w:hAnsi="宋体"/>
                <w:szCs w:val="21"/>
              </w:rPr>
              <w:t>支持其他管理者在其负责的相关领域证实其领导作用；</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方针</w:t>
            </w: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Q5.2  </w:t>
            </w:r>
          </w:p>
        </w:tc>
        <w:tc>
          <w:tcPr>
            <w:tcW w:w="10004" w:type="dxa"/>
            <w:vAlign w:val="center"/>
          </w:tcPr>
          <w:p>
            <w:pPr>
              <w:pStyle w:val="9"/>
              <w:ind w:firstLine="0" w:firstLineChars="0"/>
              <w:jc w:val="left"/>
              <w:rPr>
                <w:rFonts w:hint="eastAsia" w:ascii="Times New Roman" w:hAnsi="Times New Roman" w:eastAsia="宋体" w:cs="Times New Roman"/>
                <w:b w:val="0"/>
                <w:bCs w:val="0"/>
                <w:kern w:val="2"/>
                <w:sz w:val="21"/>
                <w:szCs w:val="21"/>
                <w:lang w:val="en-US" w:eastAsia="zh-CN" w:bidi="ar-SA"/>
              </w:rPr>
            </w:pPr>
            <w:r>
              <w:rPr>
                <w:rFonts w:hint="eastAsia"/>
                <w:sz w:val="21"/>
                <w:szCs w:val="21"/>
                <w:lang w:eastAsia="zh-CN"/>
              </w:rPr>
              <w:t>－－</w:t>
            </w:r>
            <w:r>
              <w:rPr>
                <w:rFonts w:hint="eastAsia" w:ascii="Times New Roman" w:hAnsi="Times New Roman" w:eastAsia="宋体" w:cs="Times New Roman"/>
                <w:b w:val="0"/>
                <w:bCs w:val="0"/>
                <w:kern w:val="2"/>
                <w:sz w:val="21"/>
                <w:szCs w:val="21"/>
                <w:lang w:val="en-US" w:eastAsia="zh-CN" w:bidi="ar-SA"/>
              </w:rPr>
              <w:t>企业策划并制定了企业的质量方针：质量为本，信誉至上；持续改进，争创一流。</w:t>
            </w:r>
          </w:p>
          <w:p>
            <w:pPr>
              <w:keepNext w:val="0"/>
              <w:keepLines w:val="0"/>
              <w:pageBreakBefore w:val="0"/>
              <w:widowControl w:val="0"/>
              <w:kinsoku/>
              <w:wordWrap/>
              <w:overflowPunct/>
              <w:topLinePunct w:val="0"/>
              <w:bidi w:val="0"/>
              <w:spacing w:line="240" w:lineRule="auto"/>
              <w:jc w:val="both"/>
              <w:textAlignment w:val="auto"/>
              <w:rPr>
                <w:sz w:val="21"/>
                <w:szCs w:val="21"/>
              </w:rPr>
            </w:pPr>
            <w:r>
              <w:rPr>
                <w:rFonts w:hint="eastAsia"/>
                <w:sz w:val="21"/>
                <w:szCs w:val="21"/>
              </w:rPr>
              <w:t>方针在管理手册中予以规定，经总经理批准实施。</w:t>
            </w:r>
          </w:p>
          <w:p>
            <w:pPr>
              <w:keepNext w:val="0"/>
              <w:keepLines w:val="0"/>
              <w:pageBreakBefore w:val="0"/>
              <w:widowControl w:val="0"/>
              <w:kinsoku/>
              <w:wordWrap/>
              <w:overflowPunct/>
              <w:topLinePunct w:val="0"/>
              <w:bidi w:val="0"/>
              <w:spacing w:line="240" w:lineRule="auto"/>
              <w:jc w:val="both"/>
              <w:textAlignment w:val="auto"/>
              <w:rPr>
                <w:sz w:val="21"/>
                <w:szCs w:val="21"/>
              </w:rPr>
            </w:pPr>
            <w:r>
              <w:rPr>
                <w:rFonts w:hint="eastAsia"/>
                <w:sz w:val="21"/>
                <w:szCs w:val="21"/>
                <w:lang w:eastAsia="zh-CN"/>
              </w:rPr>
              <w:t>－－</w:t>
            </w:r>
            <w:r>
              <w:rPr>
                <w:rFonts w:hint="eastAsia"/>
                <w:sz w:val="21"/>
                <w:szCs w:val="21"/>
              </w:rPr>
              <w:t>公司通过运行</w:t>
            </w:r>
            <w:r>
              <w:rPr>
                <w:rFonts w:hint="eastAsia"/>
                <w:sz w:val="21"/>
                <w:szCs w:val="21"/>
                <w:lang w:val="en-US" w:eastAsia="zh-CN"/>
              </w:rPr>
              <w:t>质量管理</w:t>
            </w:r>
            <w:r>
              <w:rPr>
                <w:rFonts w:hint="eastAsia"/>
                <w:sz w:val="21"/>
                <w:szCs w:val="21"/>
              </w:rPr>
              <w:t>体系，证明公司的</w:t>
            </w:r>
            <w:r>
              <w:rPr>
                <w:rFonts w:hint="eastAsia"/>
                <w:sz w:val="21"/>
                <w:szCs w:val="21"/>
                <w:lang w:eastAsia="zh-CN"/>
              </w:rPr>
              <w:t>质量</w:t>
            </w:r>
            <w:r>
              <w:rPr>
                <w:rFonts w:hint="eastAsia"/>
                <w:sz w:val="21"/>
                <w:szCs w:val="21"/>
              </w:rPr>
              <w:t>方针是适宜的。公司方针与公司的宗旨相适宜，符合公司的活动、产品或服务的性质、规模，满足顾客的要求，对持续改进也做出承诺。</w:t>
            </w:r>
          </w:p>
          <w:p>
            <w:pPr>
              <w:keepNext w:val="0"/>
              <w:keepLines w:val="0"/>
              <w:pageBreakBefore w:val="0"/>
              <w:widowControl w:val="0"/>
              <w:kinsoku/>
              <w:wordWrap/>
              <w:overflowPunct/>
              <w:topLinePunct w:val="0"/>
              <w:bidi w:val="0"/>
              <w:spacing w:line="240" w:lineRule="auto"/>
              <w:jc w:val="both"/>
              <w:textAlignment w:val="auto"/>
              <w:rPr>
                <w:rFonts w:hint="eastAsia"/>
                <w:sz w:val="21"/>
                <w:szCs w:val="21"/>
                <w:lang w:val="en-US" w:eastAsia="zh-CN"/>
              </w:rPr>
            </w:pPr>
            <w:r>
              <w:rPr>
                <w:rFonts w:hint="eastAsia"/>
                <w:sz w:val="21"/>
                <w:szCs w:val="21"/>
                <w:lang w:eastAsia="zh-CN"/>
              </w:rPr>
              <w:t>－－</w:t>
            </w:r>
            <w:r>
              <w:rPr>
                <w:rFonts w:hint="eastAsia"/>
                <w:sz w:val="21"/>
                <w:szCs w:val="21"/>
              </w:rPr>
              <w:t>企业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组织的岗位、职责和权限</w:t>
            </w: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Q5.3</w:t>
            </w:r>
          </w:p>
        </w:tc>
        <w:tc>
          <w:tcPr>
            <w:tcW w:w="10004" w:type="dxa"/>
            <w:vAlign w:val="center"/>
          </w:tcPr>
          <w:p>
            <w:pPr>
              <w:pStyle w:val="10"/>
              <w:keepNext w:val="0"/>
              <w:keepLines w:val="0"/>
              <w:pageBreakBefore w:val="0"/>
              <w:widowControl w:val="0"/>
              <w:kinsoku/>
              <w:wordWrap/>
              <w:overflowPunct/>
              <w:topLinePunct w:val="0"/>
              <w:bidi w:val="0"/>
              <w:spacing w:line="240" w:lineRule="auto"/>
              <w:textAlignment w:val="auto"/>
              <w:rPr>
                <w:rFonts w:hint="eastAsia"/>
                <w:sz w:val="21"/>
                <w:szCs w:val="21"/>
              </w:rPr>
            </w:pPr>
            <w:r>
              <w:rPr>
                <w:rFonts w:hint="eastAsia"/>
                <w:sz w:val="21"/>
                <w:szCs w:val="21"/>
              </w:rPr>
              <w:t>企业在策划和建立管理体系时，成立了组织机构：设置了</w:t>
            </w:r>
            <w:r>
              <w:rPr>
                <w:rFonts w:hint="eastAsia"/>
                <w:sz w:val="21"/>
                <w:szCs w:val="21"/>
                <w:lang w:eastAsia="zh-CN"/>
              </w:rPr>
              <w:t>行政部</w:t>
            </w:r>
            <w:r>
              <w:rPr>
                <w:rFonts w:hint="eastAsia"/>
                <w:sz w:val="21"/>
                <w:szCs w:val="21"/>
              </w:rPr>
              <w:t>、</w:t>
            </w:r>
            <w:r>
              <w:rPr>
                <w:rFonts w:hint="eastAsia"/>
                <w:sz w:val="21"/>
                <w:szCs w:val="21"/>
                <w:lang w:val="en-US" w:eastAsia="zh-CN"/>
              </w:rPr>
              <w:t>供销部</w:t>
            </w:r>
            <w:r>
              <w:rPr>
                <w:rFonts w:hint="eastAsia"/>
                <w:sz w:val="21"/>
                <w:szCs w:val="21"/>
                <w:lang w:eastAsia="zh-CN"/>
              </w:rPr>
              <w:t>、</w:t>
            </w:r>
            <w:r>
              <w:rPr>
                <w:rFonts w:hint="eastAsia"/>
                <w:sz w:val="21"/>
                <w:szCs w:val="21"/>
                <w:lang w:val="en-US" w:eastAsia="zh-CN"/>
              </w:rPr>
              <w:t>生产部</w:t>
            </w:r>
            <w:r>
              <w:rPr>
                <w:rFonts w:hint="eastAsia"/>
                <w:sz w:val="21"/>
                <w:szCs w:val="21"/>
              </w:rPr>
              <w:t>等部门，并对各部门的作用、职责、权限进行了划分，提供的管理手册中确定了组织机构图、职能分配表， 各部门作用、职责、权限界定基本清楚，并与实际情况基本相符。最高管理者负责岗位的设定、职责和权限的指派工作。并有通过文件、会议、培训等方式将职责、权限传达到组织相关部门及层次。审核发现组织的角色、职责和权限基本得到有效沟通和贯彻实施。</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color w:val="000000"/>
                <w:sz w:val="21"/>
                <w:szCs w:val="21"/>
              </w:rPr>
              <w:t>应对风险和机遇的措施</w:t>
            </w: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color w:val="000000"/>
                <w:sz w:val="21"/>
                <w:szCs w:val="21"/>
              </w:rPr>
              <w:t>Q6.1</w:t>
            </w:r>
          </w:p>
        </w:tc>
        <w:tc>
          <w:tcPr>
            <w:tcW w:w="10004" w:type="dxa"/>
            <w:vAlign w:val="center"/>
          </w:tcPr>
          <w:p>
            <w:pPr>
              <w:keepNext w:val="0"/>
              <w:keepLines w:val="0"/>
              <w:pageBreakBefore w:val="0"/>
              <w:widowControl w:val="0"/>
              <w:kinsoku/>
              <w:wordWrap/>
              <w:overflowPunct/>
              <w:topLinePunct w:val="0"/>
              <w:bidi w:val="0"/>
              <w:spacing w:line="240" w:lineRule="auto"/>
              <w:textAlignment w:val="auto"/>
              <w:rPr>
                <w:rFonts w:hint="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企业识别了</w:t>
            </w:r>
            <w:r>
              <w:rPr>
                <w:rFonts w:hint="eastAsia" w:ascii="宋体" w:hAnsi="宋体" w:cs="宋体"/>
                <w:color w:val="000000"/>
                <w:sz w:val="21"/>
                <w:szCs w:val="21"/>
              </w:rPr>
              <w:t>法律、法规内容的变化</w:t>
            </w:r>
            <w:r>
              <w:rPr>
                <w:rFonts w:hint="eastAsia" w:ascii="宋体" w:hAnsi="宋体" w:cs="宋体"/>
                <w:color w:val="000000"/>
                <w:sz w:val="21"/>
                <w:szCs w:val="21"/>
                <w:lang w:eastAsia="zh-CN"/>
              </w:rPr>
              <w:t>、</w:t>
            </w:r>
            <w:r>
              <w:rPr>
                <w:rFonts w:hint="eastAsia" w:ascii="宋体" w:hAnsi="宋体" w:cs="宋体"/>
                <w:color w:val="000000"/>
                <w:sz w:val="21"/>
                <w:szCs w:val="21"/>
              </w:rPr>
              <w:t>行业标准的变化</w:t>
            </w:r>
            <w:r>
              <w:rPr>
                <w:rFonts w:hint="eastAsia" w:ascii="宋体" w:hAnsi="宋体" w:cs="宋体"/>
                <w:color w:val="000000"/>
                <w:sz w:val="21"/>
                <w:szCs w:val="21"/>
                <w:lang w:eastAsia="zh-CN"/>
              </w:rPr>
              <w:t>、</w:t>
            </w:r>
            <w:r>
              <w:rPr>
                <w:rFonts w:hint="eastAsia" w:ascii="宋体" w:hAnsi="宋体" w:cs="宋体"/>
                <w:color w:val="000000"/>
                <w:sz w:val="21"/>
                <w:szCs w:val="21"/>
              </w:rPr>
              <w:t>供应商的要求</w:t>
            </w:r>
            <w:r>
              <w:rPr>
                <w:rFonts w:hint="eastAsia" w:ascii="宋体" w:hAnsi="宋体" w:cs="宋体"/>
                <w:color w:val="000000"/>
                <w:sz w:val="21"/>
                <w:szCs w:val="21"/>
                <w:lang w:eastAsia="zh-CN"/>
              </w:rPr>
              <w:t>、</w:t>
            </w:r>
            <w:r>
              <w:rPr>
                <w:rFonts w:hint="eastAsia" w:ascii="宋体" w:hAnsi="宋体" w:cs="宋体"/>
                <w:color w:val="000000"/>
                <w:sz w:val="21"/>
                <w:szCs w:val="21"/>
              </w:rPr>
              <w:t>基础设备的能力和维护保养</w:t>
            </w:r>
            <w:r>
              <w:rPr>
                <w:rFonts w:hint="eastAsia" w:ascii="宋体" w:hAnsi="宋体" w:cs="宋体"/>
                <w:color w:val="000000"/>
                <w:sz w:val="21"/>
                <w:szCs w:val="21"/>
                <w:lang w:eastAsia="zh-CN"/>
              </w:rPr>
              <w:t>、</w:t>
            </w:r>
            <w:r>
              <w:rPr>
                <w:rFonts w:hint="eastAsia" w:ascii="宋体" w:hAnsi="宋体" w:cs="宋体"/>
                <w:color w:val="000000"/>
                <w:sz w:val="21"/>
                <w:szCs w:val="21"/>
              </w:rPr>
              <w:t>公司文化和企业发展</w:t>
            </w:r>
            <w:r>
              <w:rPr>
                <w:rFonts w:hint="eastAsia" w:ascii="宋体" w:hAnsi="宋体" w:cs="宋体"/>
                <w:color w:val="000000"/>
                <w:sz w:val="21"/>
                <w:szCs w:val="21"/>
                <w:lang w:val="en-US" w:eastAsia="zh-CN"/>
              </w:rPr>
              <w:t>等方面风险和机遇。并对风险和机遇进行了评估，制订了应对措施。</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color w:val="000000"/>
                <w:sz w:val="21"/>
                <w:szCs w:val="21"/>
              </w:rPr>
            </w:pPr>
            <w:r>
              <w:rPr>
                <w:rFonts w:hint="eastAsia"/>
                <w:color w:val="000000"/>
                <w:sz w:val="21"/>
                <w:szCs w:val="21"/>
              </w:rPr>
              <w:t>质量目标及其实现的策划</w:t>
            </w:r>
          </w:p>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color w:val="000000"/>
                <w:sz w:val="21"/>
                <w:szCs w:val="21"/>
              </w:rPr>
              <w:t>Q6.2 </w:t>
            </w:r>
          </w:p>
        </w:tc>
        <w:tc>
          <w:tcPr>
            <w:tcW w:w="10004" w:type="dxa"/>
            <w:vAlign w:val="center"/>
          </w:tcPr>
          <w:p>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z w:val="21"/>
                <w:szCs w:val="21"/>
                <w:lang w:val="en-US" w:eastAsia="zh-CN"/>
              </w:rPr>
              <w:t>制订质量</w:t>
            </w:r>
            <w:r>
              <w:rPr>
                <w:rFonts w:hint="eastAsia" w:asciiTheme="minorEastAsia" w:hAnsiTheme="minorEastAsia" w:eastAsiaTheme="minorEastAsia" w:cstheme="minorEastAsia"/>
                <w:sz w:val="21"/>
                <w:szCs w:val="21"/>
              </w:rPr>
              <w:t>目标为：</w:t>
            </w:r>
          </w:p>
          <w:p>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bookmarkStart w:id="3" w:name="_Hlk10640542"/>
            <w:r>
              <w:rPr>
                <w:rFonts w:hint="eastAsia" w:asciiTheme="minorEastAsia" w:hAnsiTheme="minorEastAsia" w:eastAsiaTheme="minorEastAsia" w:cstheme="minorEastAsia"/>
                <w:sz w:val="21"/>
                <w:szCs w:val="21"/>
              </w:rPr>
              <w:t>产品交付合格率100%；</w:t>
            </w:r>
            <w:bookmarkEnd w:id="3"/>
            <w:bookmarkStart w:id="4" w:name="_Hlk10640552"/>
            <w:r>
              <w:rPr>
                <w:rFonts w:hint="eastAsia" w:asciiTheme="minorEastAsia" w:hAnsiTheme="minorEastAsia" w:eastAsiaTheme="minorEastAsia" w:cstheme="minorEastAsia"/>
                <w:sz w:val="21"/>
                <w:szCs w:val="21"/>
              </w:rPr>
              <w:t>合同按时交付率100%；</w:t>
            </w:r>
            <w:bookmarkEnd w:id="4"/>
            <w:bookmarkStart w:id="5" w:name="_Hlk10640576"/>
            <w:r>
              <w:rPr>
                <w:rFonts w:hint="eastAsia" w:asciiTheme="minorEastAsia" w:hAnsiTheme="minorEastAsia" w:eastAsiaTheme="minorEastAsia" w:cstheme="minorEastAsia"/>
                <w:sz w:val="21"/>
                <w:szCs w:val="21"/>
              </w:rPr>
              <w:t>顾客满意度≥92分；</w:t>
            </w:r>
          </w:p>
          <w:bookmarkEnd w:id="5"/>
          <w:p>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公司的目标已分解到相关职能部门，规定了计算方法及统计周期，</w:t>
            </w:r>
            <w:r>
              <w:rPr>
                <w:rFonts w:hint="eastAsia" w:asciiTheme="minorEastAsia" w:hAnsiTheme="minorEastAsia" w:eastAsiaTheme="minorEastAsia" w:cstheme="minorEastAsia"/>
                <w:sz w:val="21"/>
                <w:szCs w:val="21"/>
                <w:lang w:val="en-US" w:eastAsia="zh-CN"/>
              </w:rPr>
              <w:t>查看</w:t>
            </w:r>
            <w:r>
              <w:rPr>
                <w:rFonts w:hint="eastAsia" w:asciiTheme="minorEastAsia" w:hAnsiTheme="minorEastAsia" w:eastAsiaTheme="minorEastAsia" w:cstheme="minorEastAsia"/>
                <w:sz w:val="21"/>
                <w:szCs w:val="21"/>
              </w:rPr>
              <w:t>202</w:t>
            </w:r>
            <w:r>
              <w:rPr>
                <w:rFonts w:hint="eastAsia" w:asciiTheme="minorEastAsia" w:hAnsiTheme="minorEastAsia" w:eastAsiaTheme="minorEastAsia" w:cstheme="minorEastAsia"/>
                <w:sz w:val="21"/>
                <w:szCs w:val="21"/>
                <w:lang w:val="en-US" w:eastAsia="zh-CN"/>
              </w:rPr>
              <w:t>2.2.10</w:t>
            </w:r>
            <w:r>
              <w:rPr>
                <w:rFonts w:hint="eastAsia" w:asciiTheme="minorEastAsia" w:hAnsiTheme="minorEastAsia" w:eastAsiaTheme="minorEastAsia" w:cstheme="minorEastAsia"/>
                <w:sz w:val="21"/>
                <w:szCs w:val="21"/>
              </w:rPr>
              <w:t>目标</w:t>
            </w:r>
            <w:r>
              <w:rPr>
                <w:rFonts w:hint="eastAsia" w:asciiTheme="minorEastAsia" w:hAnsiTheme="minorEastAsia" w:eastAsiaTheme="minorEastAsia" w:cstheme="minorEastAsia"/>
                <w:sz w:val="21"/>
                <w:szCs w:val="21"/>
                <w:lang w:val="en-US" w:eastAsia="zh-CN"/>
              </w:rPr>
              <w:t>完成情况统考，</w:t>
            </w:r>
            <w:r>
              <w:rPr>
                <w:rFonts w:hint="eastAsia" w:asciiTheme="minorEastAsia" w:hAnsiTheme="minorEastAsia" w:eastAsiaTheme="minorEastAsia" w:cstheme="minorEastAsia"/>
                <w:sz w:val="21"/>
                <w:szCs w:val="21"/>
              </w:rPr>
              <w:t>均符合指标要求。</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color w:val="000000"/>
                <w:sz w:val="21"/>
                <w:szCs w:val="21"/>
              </w:rPr>
            </w:pPr>
            <w:r>
              <w:rPr>
                <w:rFonts w:hint="eastAsia"/>
                <w:color w:val="000000"/>
                <w:sz w:val="21"/>
                <w:szCs w:val="21"/>
              </w:rPr>
              <w:t>变更的策划</w:t>
            </w:r>
          </w:p>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color w:val="000000"/>
                <w:sz w:val="21"/>
                <w:szCs w:val="21"/>
              </w:rPr>
              <w:t>Q6.3  </w:t>
            </w:r>
          </w:p>
        </w:tc>
        <w:tc>
          <w:tcPr>
            <w:tcW w:w="10004" w:type="dxa"/>
            <w:vAlign w:val="center"/>
          </w:tcPr>
          <w:p>
            <w:pPr>
              <w:keepNext w:val="0"/>
              <w:keepLines w:val="0"/>
              <w:pageBreakBefore w:val="0"/>
              <w:widowControl w:val="0"/>
              <w:kinsoku/>
              <w:wordWrap/>
              <w:overflowPunct/>
              <w:topLinePunct w:val="0"/>
              <w:bidi w:val="0"/>
              <w:spacing w:line="240" w:lineRule="auto"/>
              <w:jc w:val="both"/>
              <w:textAlignment w:val="auto"/>
              <w:rPr>
                <w:sz w:val="21"/>
                <w:szCs w:val="21"/>
              </w:rPr>
            </w:pPr>
            <w:r>
              <w:rPr>
                <w:rFonts w:hint="eastAsia"/>
                <w:sz w:val="21"/>
                <w:szCs w:val="21"/>
                <w:lang w:eastAsia="zh-CN"/>
              </w:rPr>
              <w:t>－－</w:t>
            </w:r>
            <w:r>
              <w:rPr>
                <w:rFonts w:hint="eastAsia"/>
                <w:sz w:val="21"/>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潜在的变更需求，并确保在必要时做出相应的变更。</w:t>
            </w:r>
          </w:p>
          <w:p>
            <w:pPr>
              <w:keepNext w:val="0"/>
              <w:keepLines w:val="0"/>
              <w:pageBreakBefore w:val="0"/>
              <w:widowControl w:val="0"/>
              <w:kinsoku/>
              <w:wordWrap/>
              <w:overflowPunct/>
              <w:topLinePunct w:val="0"/>
              <w:bidi w:val="0"/>
              <w:spacing w:line="240" w:lineRule="auto"/>
              <w:jc w:val="both"/>
              <w:textAlignment w:val="auto"/>
              <w:rPr>
                <w:sz w:val="21"/>
                <w:szCs w:val="21"/>
              </w:rPr>
            </w:pPr>
            <w:r>
              <w:rPr>
                <w:rFonts w:hint="eastAsia"/>
                <w:sz w:val="21"/>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sz w:val="21"/>
                <w:szCs w:val="21"/>
                <w:lang w:val="en-US" w:eastAsia="zh-CN"/>
              </w:rPr>
              <w:t>－－自体系建立</w:t>
            </w:r>
            <w:r>
              <w:rPr>
                <w:rFonts w:hint="eastAsia"/>
                <w:sz w:val="21"/>
                <w:szCs w:val="21"/>
              </w:rPr>
              <w:t>以来，</w:t>
            </w:r>
            <w:r>
              <w:rPr>
                <w:rFonts w:hint="eastAsia"/>
                <w:sz w:val="21"/>
                <w:szCs w:val="21"/>
                <w:lang w:val="en-US" w:eastAsia="zh-CN"/>
              </w:rPr>
              <w:t>未发生变更</w:t>
            </w:r>
            <w:r>
              <w:rPr>
                <w:rFonts w:hint="eastAsia"/>
                <w:sz w:val="21"/>
                <w:szCs w:val="21"/>
              </w:rPr>
              <w:t>。</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资源（总则）</w:t>
            </w: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default" w:ascii="Times New Roman" w:hAnsi="Times New Roman" w:eastAsia="宋体" w:cs="Times New Roman"/>
                <w:kern w:val="2"/>
                <w:sz w:val="21"/>
                <w:szCs w:val="21"/>
                <w:lang w:val="en-US" w:eastAsia="zh-CN" w:bidi="ar-SA"/>
              </w:rPr>
            </w:pPr>
            <w:r>
              <w:rPr>
                <w:rFonts w:hint="eastAsia"/>
                <w:color w:val="000000"/>
                <w:sz w:val="21"/>
                <w:szCs w:val="21"/>
              </w:rPr>
              <w:t>Q7.1 </w:t>
            </w:r>
            <w:r>
              <w:rPr>
                <w:rFonts w:hint="eastAsia"/>
                <w:color w:val="000000"/>
                <w:sz w:val="21"/>
                <w:szCs w:val="21"/>
                <w:lang w:val="en-US" w:eastAsia="zh-CN"/>
              </w:rPr>
              <w:t>.1</w:t>
            </w:r>
          </w:p>
        </w:tc>
        <w:tc>
          <w:tcPr>
            <w:tcW w:w="10004" w:type="dxa"/>
            <w:vAlign w:val="center"/>
          </w:tcPr>
          <w:p>
            <w:pPr>
              <w:pStyle w:val="26"/>
              <w:keepNext w:val="0"/>
              <w:keepLines w:val="0"/>
              <w:pageBreakBefore w:val="0"/>
              <w:widowControl w:val="0"/>
              <w:numPr>
                <w:ilvl w:val="0"/>
                <w:numId w:val="0"/>
              </w:numPr>
              <w:kinsoku/>
              <w:wordWrap/>
              <w:overflowPunct/>
              <w:topLinePunct w:val="0"/>
              <w:bidi w:val="0"/>
              <w:spacing w:line="240" w:lineRule="auto"/>
              <w:ind w:leftChars="0"/>
              <w:jc w:val="both"/>
              <w:textAlignment w:val="auto"/>
              <w:rPr>
                <w:rFonts w:hint="eastAsia"/>
                <w:sz w:val="21"/>
                <w:szCs w:val="21"/>
              </w:rPr>
            </w:pPr>
            <w:r>
              <w:rPr>
                <w:rFonts w:hint="eastAsia"/>
                <w:sz w:val="21"/>
                <w:szCs w:val="21"/>
                <w:lang w:eastAsia="zh-CN"/>
              </w:rPr>
              <w:t>－－</w:t>
            </w:r>
            <w:r>
              <w:rPr>
                <w:rFonts w:hint="eastAsia"/>
                <w:sz w:val="21"/>
                <w:szCs w:val="21"/>
              </w:rPr>
              <w:t>企业目前主要工作人员</w:t>
            </w:r>
            <w:r>
              <w:rPr>
                <w:rFonts w:hint="eastAsia"/>
                <w:sz w:val="21"/>
                <w:szCs w:val="21"/>
                <w:lang w:val="en-US" w:eastAsia="zh-CN"/>
              </w:rPr>
              <w:t>25</w:t>
            </w:r>
            <w:r>
              <w:rPr>
                <w:rFonts w:hint="eastAsia"/>
                <w:sz w:val="21"/>
                <w:szCs w:val="21"/>
              </w:rPr>
              <w:t>名，包括管理</w:t>
            </w:r>
            <w:r>
              <w:rPr>
                <w:rFonts w:hint="eastAsia"/>
                <w:sz w:val="21"/>
                <w:szCs w:val="21"/>
                <w:lang w:val="en-US" w:eastAsia="zh-CN"/>
              </w:rPr>
              <w:t>人员</w:t>
            </w:r>
            <w:r>
              <w:rPr>
                <w:rFonts w:hint="eastAsia"/>
                <w:sz w:val="21"/>
                <w:szCs w:val="21"/>
              </w:rPr>
              <w:t>、</w:t>
            </w:r>
            <w:r>
              <w:rPr>
                <w:rFonts w:hint="eastAsia"/>
                <w:sz w:val="21"/>
                <w:szCs w:val="21"/>
                <w:lang w:val="en-US" w:eastAsia="zh-CN"/>
              </w:rPr>
              <w:t>业务</w:t>
            </w:r>
            <w:r>
              <w:rPr>
                <w:rFonts w:hint="eastAsia"/>
                <w:sz w:val="21"/>
                <w:szCs w:val="21"/>
              </w:rPr>
              <w:t>人员</w:t>
            </w:r>
            <w:r>
              <w:rPr>
                <w:rFonts w:hint="eastAsia"/>
                <w:sz w:val="21"/>
                <w:szCs w:val="21"/>
                <w:lang w:eastAsia="zh-CN"/>
              </w:rPr>
              <w:t>、</w:t>
            </w:r>
            <w:r>
              <w:rPr>
                <w:rFonts w:hint="eastAsia"/>
                <w:sz w:val="21"/>
                <w:szCs w:val="21"/>
                <w:lang w:val="en-US" w:eastAsia="zh-CN"/>
              </w:rPr>
              <w:t>技术人员、操作人员</w:t>
            </w:r>
            <w:r>
              <w:rPr>
                <w:rFonts w:hint="eastAsia"/>
                <w:sz w:val="21"/>
                <w:szCs w:val="21"/>
              </w:rPr>
              <w:t>等。可满足</w:t>
            </w:r>
            <w:r>
              <w:rPr>
                <w:rFonts w:hint="eastAsia"/>
                <w:sz w:val="21"/>
                <w:szCs w:val="21"/>
                <w:lang w:val="en-US" w:eastAsia="zh-CN"/>
              </w:rPr>
              <w:t>生产</w:t>
            </w:r>
            <w:r>
              <w:rPr>
                <w:rFonts w:hint="eastAsia"/>
                <w:sz w:val="21"/>
                <w:szCs w:val="21"/>
              </w:rPr>
              <w:t>服务控制需要。</w:t>
            </w:r>
          </w:p>
          <w:p>
            <w:pPr>
              <w:keepNext w:val="0"/>
              <w:keepLines w:val="0"/>
              <w:pageBreakBefore w:val="0"/>
              <w:widowControl w:val="0"/>
              <w:kinsoku/>
              <w:wordWrap/>
              <w:overflowPunct/>
              <w:topLinePunct w:val="0"/>
              <w:bidi w:val="0"/>
              <w:spacing w:after="0" w:line="240" w:lineRule="auto"/>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办公室 1 </w:t>
            </w:r>
            <w:r>
              <w:rPr>
                <w:rFonts w:hint="eastAsia" w:cs="Times New Roman"/>
                <w:kern w:val="2"/>
                <w:sz w:val="21"/>
                <w:szCs w:val="21"/>
                <w:lang w:val="en-US" w:eastAsia="zh-CN" w:bidi="ar-SA"/>
              </w:rPr>
              <w:t>间，约30平米</w:t>
            </w:r>
            <w:r>
              <w:rPr>
                <w:rFonts w:hint="eastAsia" w:ascii="Times New Roman" w:hAnsi="Times New Roman" w:eastAsia="宋体" w:cs="Times New Roman"/>
                <w:kern w:val="2"/>
                <w:sz w:val="21"/>
                <w:szCs w:val="21"/>
                <w:lang w:val="en-US" w:eastAsia="zh-CN" w:bidi="ar-SA"/>
              </w:rPr>
              <w:t>，生产车间1</w:t>
            </w:r>
            <w:r>
              <w:rPr>
                <w:rFonts w:hint="eastAsia" w:cs="Times New Roman"/>
                <w:kern w:val="2"/>
                <w:sz w:val="21"/>
                <w:szCs w:val="21"/>
                <w:lang w:val="en-US" w:eastAsia="zh-CN" w:bidi="ar-SA"/>
              </w:rPr>
              <w:t>间，约1000平米。</w:t>
            </w:r>
          </w:p>
          <w:p>
            <w:pPr>
              <w:pStyle w:val="26"/>
              <w:keepNext w:val="0"/>
              <w:keepLines w:val="0"/>
              <w:pageBreakBefore w:val="0"/>
              <w:widowControl w:val="0"/>
              <w:numPr>
                <w:ilvl w:val="0"/>
                <w:numId w:val="0"/>
              </w:numPr>
              <w:kinsoku/>
              <w:wordWrap/>
              <w:overflowPunct/>
              <w:topLinePunct w:val="0"/>
              <w:bidi w:val="0"/>
              <w:spacing w:line="240" w:lineRule="auto"/>
              <w:ind w:leftChars="0"/>
              <w:jc w:val="both"/>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生产设备</w:t>
            </w:r>
            <w:r>
              <w:rPr>
                <w:rFonts w:hint="eastAsia" w:cs="Times New Roman"/>
                <w:kern w:val="2"/>
                <w:sz w:val="21"/>
                <w:szCs w:val="21"/>
                <w:lang w:val="en-US" w:eastAsia="zh-CN" w:bidi="ar-SA"/>
              </w:rPr>
              <w:t>主要</w:t>
            </w:r>
            <w:r>
              <w:rPr>
                <w:rFonts w:hint="eastAsia" w:ascii="Times New Roman" w:hAnsi="Times New Roman" w:eastAsia="宋体" w:cs="Times New Roman"/>
                <w:kern w:val="2"/>
                <w:sz w:val="21"/>
                <w:szCs w:val="21"/>
                <w:lang w:val="en-US" w:eastAsia="zh-CN" w:bidi="ar-SA"/>
              </w:rPr>
              <w:t>有：</w:t>
            </w:r>
            <w:r>
              <w:rPr>
                <w:rFonts w:hint="eastAsia" w:ascii="宋体" w:hAnsi="宋体" w:eastAsia="宋体"/>
                <w:color w:val="000000"/>
                <w:sz w:val="21"/>
                <w:szCs w:val="21"/>
              </w:rPr>
              <w:t>数控车床</w:t>
            </w:r>
            <w:r>
              <w:rPr>
                <w:rFonts w:hint="eastAsia" w:ascii="宋体" w:hAnsi="宋体"/>
                <w:color w:val="000000"/>
                <w:sz w:val="21"/>
                <w:szCs w:val="21"/>
                <w:lang w:eastAsia="zh-CN"/>
              </w:rPr>
              <w:t>、</w:t>
            </w:r>
            <w:r>
              <w:rPr>
                <w:rFonts w:hint="eastAsia" w:ascii="宋体" w:hAnsi="宋体" w:eastAsia="宋体"/>
                <w:color w:val="000000"/>
                <w:sz w:val="21"/>
                <w:szCs w:val="21"/>
              </w:rPr>
              <w:t>插齿机</w:t>
            </w:r>
            <w:r>
              <w:rPr>
                <w:rFonts w:hint="eastAsia" w:ascii="宋体" w:hAnsi="宋体"/>
                <w:color w:val="000000"/>
                <w:sz w:val="21"/>
                <w:szCs w:val="21"/>
                <w:lang w:eastAsia="zh-CN"/>
              </w:rPr>
              <w:t>、</w:t>
            </w:r>
            <w:r>
              <w:rPr>
                <w:rFonts w:hint="eastAsia" w:ascii="宋体" w:hAnsi="宋体" w:eastAsia="宋体"/>
                <w:color w:val="000000"/>
                <w:sz w:val="21"/>
                <w:szCs w:val="21"/>
              </w:rPr>
              <w:t>滚齿机</w:t>
            </w:r>
            <w:r>
              <w:rPr>
                <w:rFonts w:hint="eastAsia" w:ascii="宋体" w:hAnsi="宋体"/>
                <w:color w:val="000000"/>
                <w:sz w:val="21"/>
                <w:szCs w:val="21"/>
                <w:lang w:eastAsia="zh-CN"/>
              </w:rPr>
              <w:t>、</w:t>
            </w:r>
            <w:r>
              <w:rPr>
                <w:rFonts w:hint="eastAsia" w:ascii="宋体" w:hAnsi="宋体" w:eastAsia="宋体"/>
                <w:color w:val="000000"/>
                <w:sz w:val="21"/>
                <w:szCs w:val="21"/>
              </w:rPr>
              <w:t>数控加工中心</w:t>
            </w:r>
            <w:r>
              <w:rPr>
                <w:rFonts w:hint="eastAsia" w:ascii="宋体" w:hAnsi="宋体"/>
                <w:color w:val="000000"/>
                <w:sz w:val="21"/>
                <w:szCs w:val="21"/>
                <w:lang w:eastAsia="zh-CN"/>
              </w:rPr>
              <w:t>、</w:t>
            </w:r>
            <w:r>
              <w:rPr>
                <w:rFonts w:hint="eastAsia" w:ascii="宋体" w:hAnsi="宋体" w:eastAsia="宋体"/>
                <w:color w:val="000000"/>
                <w:sz w:val="21"/>
                <w:szCs w:val="21"/>
              </w:rPr>
              <w:t>镗床</w:t>
            </w:r>
            <w:r>
              <w:rPr>
                <w:rFonts w:hint="eastAsia" w:ascii="宋体" w:hAnsi="宋体"/>
                <w:color w:val="000000"/>
                <w:sz w:val="21"/>
                <w:szCs w:val="21"/>
                <w:lang w:eastAsia="zh-CN"/>
              </w:rPr>
              <w:t>、</w:t>
            </w:r>
            <w:r>
              <w:rPr>
                <w:rFonts w:hint="eastAsia" w:ascii="宋体" w:hAnsi="宋体" w:eastAsia="宋体"/>
                <w:color w:val="000000"/>
                <w:sz w:val="21"/>
                <w:szCs w:val="21"/>
              </w:rPr>
              <w:t>摇臂钻床</w:t>
            </w:r>
            <w:r>
              <w:rPr>
                <w:rFonts w:hint="eastAsia" w:ascii="宋体" w:hAnsi="宋体"/>
                <w:color w:val="000000"/>
                <w:sz w:val="21"/>
                <w:szCs w:val="21"/>
                <w:lang w:eastAsia="zh-CN"/>
              </w:rPr>
              <w:t>、</w:t>
            </w:r>
            <w:r>
              <w:rPr>
                <w:rFonts w:hint="eastAsia" w:ascii="宋体" w:hAnsi="宋体" w:eastAsia="宋体"/>
                <w:color w:val="000000"/>
                <w:sz w:val="21"/>
                <w:szCs w:val="21"/>
              </w:rPr>
              <w:t>电火花数控线切割机床</w:t>
            </w:r>
            <w:r>
              <w:rPr>
                <w:rFonts w:hint="eastAsia" w:ascii="宋体" w:hAnsi="宋体"/>
                <w:color w:val="000000"/>
                <w:sz w:val="21"/>
                <w:szCs w:val="21"/>
                <w:lang w:eastAsia="zh-CN"/>
              </w:rPr>
              <w:t>、</w:t>
            </w:r>
            <w:r>
              <w:rPr>
                <w:rFonts w:hint="eastAsia" w:ascii="宋体" w:hAnsi="宋体"/>
                <w:color w:val="000000"/>
                <w:sz w:val="21"/>
                <w:szCs w:val="21"/>
                <w:lang w:val="en-US" w:eastAsia="zh-CN"/>
              </w:rPr>
              <w:t>调质炉等</w:t>
            </w:r>
            <w:r>
              <w:rPr>
                <w:rFonts w:hint="eastAsia"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 xml:space="preserve"> </w:t>
            </w:r>
          </w:p>
          <w:p>
            <w:pPr>
              <w:pStyle w:val="26"/>
              <w:keepNext w:val="0"/>
              <w:keepLines w:val="0"/>
              <w:pageBreakBefore w:val="0"/>
              <w:widowControl w:val="0"/>
              <w:numPr>
                <w:ilvl w:val="0"/>
                <w:numId w:val="0"/>
              </w:numPr>
              <w:kinsoku/>
              <w:wordWrap/>
              <w:overflowPunct/>
              <w:topLinePunct w:val="0"/>
              <w:bidi w:val="0"/>
              <w:spacing w:line="240" w:lineRule="auto"/>
              <w:ind w:leftChars="0"/>
              <w:jc w:val="both"/>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检测设备主要有：</w:t>
            </w:r>
            <w:r>
              <w:rPr>
                <w:rFonts w:hint="eastAsia" w:ascii="宋体" w:hAnsi="宋体" w:eastAsia="宋体"/>
                <w:color w:val="000000"/>
                <w:sz w:val="21"/>
                <w:szCs w:val="21"/>
              </w:rPr>
              <w:t>卡尺</w:t>
            </w:r>
            <w:r>
              <w:rPr>
                <w:rFonts w:hint="eastAsia" w:ascii="宋体" w:hAnsi="宋体"/>
                <w:color w:val="000000"/>
                <w:sz w:val="21"/>
                <w:szCs w:val="21"/>
                <w:lang w:eastAsia="zh-CN"/>
              </w:rPr>
              <w:t>、</w:t>
            </w:r>
            <w:r>
              <w:rPr>
                <w:rFonts w:hint="eastAsia" w:ascii="宋体" w:hAnsi="宋体" w:eastAsia="宋体"/>
                <w:color w:val="000000"/>
                <w:sz w:val="21"/>
                <w:szCs w:val="21"/>
              </w:rPr>
              <w:t>千分尺</w:t>
            </w:r>
            <w:r>
              <w:rPr>
                <w:rFonts w:hint="eastAsia" w:ascii="宋体" w:hAnsi="宋体"/>
                <w:color w:val="000000"/>
                <w:sz w:val="21"/>
                <w:szCs w:val="21"/>
                <w:lang w:eastAsia="zh-CN"/>
              </w:rPr>
              <w:t>、</w:t>
            </w:r>
            <w:r>
              <w:rPr>
                <w:rFonts w:hint="eastAsia" w:ascii="宋体" w:hAnsi="宋体" w:eastAsia="宋体"/>
                <w:color w:val="000000"/>
                <w:sz w:val="21"/>
                <w:szCs w:val="21"/>
              </w:rPr>
              <w:t>里氏硬度计</w:t>
            </w:r>
            <w:r>
              <w:rPr>
                <w:rFonts w:hint="eastAsia" w:ascii="宋体" w:hAnsi="宋体"/>
                <w:color w:val="000000"/>
                <w:sz w:val="21"/>
                <w:szCs w:val="21"/>
                <w:lang w:val="en-US" w:eastAsia="zh-CN"/>
              </w:rPr>
              <w:t>等。</w:t>
            </w:r>
            <w:r>
              <w:rPr>
                <w:rFonts w:hint="eastAsia" w:ascii="Times New Roman" w:hAnsi="Times New Roman" w:eastAsia="宋体" w:cs="Times New Roman"/>
                <w:kern w:val="2"/>
                <w:sz w:val="21"/>
                <w:szCs w:val="21"/>
                <w:lang w:val="en-US" w:eastAsia="zh-CN" w:bidi="ar-SA"/>
              </w:rPr>
              <w:t xml:space="preserve"> </w:t>
            </w:r>
          </w:p>
          <w:p>
            <w:pPr>
              <w:pStyle w:val="26"/>
              <w:keepNext w:val="0"/>
              <w:keepLines w:val="0"/>
              <w:pageBreakBefore w:val="0"/>
              <w:widowControl w:val="0"/>
              <w:numPr>
                <w:ilvl w:val="0"/>
                <w:numId w:val="0"/>
              </w:numPr>
              <w:kinsoku/>
              <w:wordWrap/>
              <w:overflowPunct/>
              <w:topLinePunct w:val="0"/>
              <w:bidi w:val="0"/>
              <w:spacing w:line="240" w:lineRule="auto"/>
              <w:ind w:leftChars="0"/>
              <w:jc w:val="both"/>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－－查公司现有资源，包括人力资源、基础设施（含办公场所、</w:t>
            </w:r>
            <w:r>
              <w:rPr>
                <w:rFonts w:hint="eastAsia" w:cs="Times New Roman"/>
                <w:kern w:val="2"/>
                <w:sz w:val="21"/>
                <w:szCs w:val="21"/>
                <w:lang w:val="en-US" w:eastAsia="zh-CN" w:bidi="ar-SA"/>
              </w:rPr>
              <w:t>生产</w:t>
            </w:r>
            <w:r>
              <w:rPr>
                <w:rFonts w:hint="eastAsia" w:ascii="Times New Roman" w:hAnsi="Times New Roman" w:eastAsia="宋体" w:cs="Times New Roman"/>
                <w:kern w:val="2"/>
                <w:sz w:val="21"/>
                <w:szCs w:val="21"/>
                <w:lang w:val="en-US" w:eastAsia="zh-CN" w:bidi="ar-SA"/>
              </w:rPr>
              <w:t>设备/设施、交通和通讯设施、消防安全设施等）、信息、技术、资金等配备。</w:t>
            </w:r>
          </w:p>
          <w:p>
            <w:pPr>
              <w:pStyle w:val="26"/>
              <w:keepNext w:val="0"/>
              <w:keepLines w:val="0"/>
              <w:pageBreakBefore w:val="0"/>
              <w:widowControl w:val="0"/>
              <w:numPr>
                <w:ilvl w:val="0"/>
                <w:numId w:val="0"/>
              </w:numPr>
              <w:kinsoku/>
              <w:wordWrap/>
              <w:overflowPunct/>
              <w:topLinePunct w:val="0"/>
              <w:bidi w:val="0"/>
              <w:spacing w:line="240" w:lineRule="auto"/>
              <w:ind w:leftChars="0"/>
              <w:jc w:val="both"/>
              <w:textAlignment w:val="auto"/>
              <w:rPr>
                <w:sz w:val="21"/>
                <w:szCs w:val="21"/>
              </w:rPr>
            </w:pPr>
            <w:r>
              <w:rPr>
                <w:rFonts w:hint="eastAsia"/>
                <w:sz w:val="21"/>
                <w:szCs w:val="21"/>
                <w:lang w:eastAsia="zh-CN"/>
              </w:rPr>
              <w:t>－－</w:t>
            </w:r>
            <w:r>
              <w:rPr>
                <w:rFonts w:hint="eastAsia"/>
                <w:sz w:val="21"/>
                <w:szCs w:val="21"/>
              </w:rPr>
              <w:t>外部资源，如供方、客户等相关方。</w:t>
            </w:r>
          </w:p>
          <w:p>
            <w:pPr>
              <w:keepNext w:val="0"/>
              <w:keepLines w:val="0"/>
              <w:pageBreakBefore w:val="0"/>
              <w:widowControl w:val="0"/>
              <w:kinsoku/>
              <w:wordWrap/>
              <w:overflowPunct/>
              <w:topLinePunct w:val="0"/>
              <w:bidi w:val="0"/>
              <w:spacing w:line="240" w:lineRule="auto"/>
              <w:textAlignment w:val="auto"/>
              <w:rPr>
                <w:rFonts w:hint="eastAsia"/>
                <w:sz w:val="21"/>
                <w:szCs w:val="21"/>
                <w:lang w:val="en-US" w:eastAsia="zh-CN"/>
              </w:rPr>
            </w:pPr>
            <w:r>
              <w:rPr>
                <w:rFonts w:hint="eastAsia"/>
                <w:sz w:val="21"/>
                <w:szCs w:val="21"/>
              </w:rPr>
              <w:t>目前企业所提供的内外部资源基本能满足管理体系运行的需要。</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监视、测量、分析和评价</w:t>
            </w: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Q9.1.1</w:t>
            </w:r>
          </w:p>
        </w:tc>
        <w:tc>
          <w:tcPr>
            <w:tcW w:w="10004" w:type="dxa"/>
            <w:vAlign w:val="center"/>
          </w:tcPr>
          <w:p>
            <w:pPr>
              <w:keepNext w:val="0"/>
              <w:keepLines w:val="0"/>
              <w:pageBreakBefore w:val="0"/>
              <w:widowControl w:val="0"/>
              <w:kinsoku/>
              <w:wordWrap/>
              <w:overflowPunct/>
              <w:topLinePunct w:val="0"/>
              <w:bidi w:val="0"/>
              <w:spacing w:line="240" w:lineRule="auto"/>
              <w:ind w:firstLine="420" w:firstLine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公司制定《内部审核控制程序》 、《管理评审控制程序》为保证公司质量管理体系的有效运行，通过对管理绩效的监视与测量，确保体系运行的有效性。</w:t>
            </w:r>
          </w:p>
          <w:p>
            <w:pPr>
              <w:keepNext w:val="0"/>
              <w:keepLines w:val="0"/>
              <w:pageBreakBefore w:val="0"/>
              <w:widowControl w:val="0"/>
              <w:kinsoku/>
              <w:wordWrap/>
              <w:overflowPunct/>
              <w:topLinePunct w:val="0"/>
              <w:bidi w:val="0"/>
              <w:spacing w:before="25" w:after="25" w:line="240" w:lineRule="auto"/>
              <w:ind w:firstLine="460" w:firstLineChars="200"/>
              <w:textAlignment w:val="auto"/>
              <w:rPr>
                <w:rFonts w:hint="eastAsia" w:eastAsia="宋体"/>
                <w:bCs/>
                <w:spacing w:val="10"/>
                <w:sz w:val="21"/>
                <w:szCs w:val="21"/>
                <w:lang w:val="en-US" w:eastAsia="zh-CN"/>
              </w:rPr>
            </w:pPr>
            <w:r>
              <w:rPr>
                <w:rFonts w:hint="eastAsia"/>
                <w:bCs/>
                <w:spacing w:val="10"/>
                <w:sz w:val="21"/>
                <w:szCs w:val="21"/>
                <w:lang w:eastAsia="zh-CN"/>
              </w:rPr>
              <w:t>行政部</w:t>
            </w:r>
            <w:r>
              <w:rPr>
                <w:rFonts w:hint="eastAsia"/>
                <w:bCs/>
                <w:spacing w:val="10"/>
                <w:sz w:val="21"/>
                <w:szCs w:val="21"/>
              </w:rPr>
              <w:t>提供了质量目标分解与实施表，规定了分解部门，分解值与采取的措施，</w:t>
            </w:r>
            <w:r>
              <w:rPr>
                <w:rFonts w:hint="eastAsia"/>
                <w:bCs/>
                <w:spacing w:val="10"/>
                <w:sz w:val="21"/>
                <w:szCs w:val="21"/>
                <w:lang w:val="en-US" w:eastAsia="zh-CN"/>
              </w:rPr>
              <w:t>制订了考核方法、</w:t>
            </w:r>
            <w:r>
              <w:rPr>
                <w:rFonts w:hint="eastAsia"/>
                <w:bCs/>
                <w:spacing w:val="10"/>
                <w:sz w:val="21"/>
                <w:szCs w:val="21"/>
              </w:rPr>
              <w:t>考核频次</w:t>
            </w:r>
            <w:r>
              <w:rPr>
                <w:rFonts w:hint="eastAsia"/>
                <w:bCs/>
                <w:spacing w:val="10"/>
                <w:sz w:val="21"/>
                <w:szCs w:val="21"/>
                <w:lang w:val="en-US" w:eastAsia="zh-CN"/>
              </w:rPr>
              <w:t>等。</w:t>
            </w:r>
          </w:p>
          <w:p>
            <w:pPr>
              <w:keepNext w:val="0"/>
              <w:keepLines w:val="0"/>
              <w:pageBreakBefore w:val="0"/>
              <w:widowControl w:val="0"/>
              <w:kinsoku/>
              <w:wordWrap/>
              <w:overflowPunct/>
              <w:topLinePunct w:val="0"/>
              <w:bidi w:val="0"/>
              <w:spacing w:before="25" w:after="25" w:line="240" w:lineRule="auto"/>
              <w:textAlignment w:val="auto"/>
              <w:rPr>
                <w:rFonts w:hint="eastAsia"/>
                <w:sz w:val="21"/>
                <w:szCs w:val="21"/>
              </w:rPr>
            </w:pPr>
            <w:r>
              <w:rPr>
                <w:rFonts w:hint="eastAsia"/>
                <w:bCs/>
                <w:spacing w:val="10"/>
                <w:sz w:val="21"/>
                <w:szCs w:val="21"/>
              </w:rPr>
              <w:t>目标均完成。</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管理评审</w:t>
            </w: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Q9.3</w:t>
            </w:r>
          </w:p>
        </w:tc>
        <w:tc>
          <w:tcPr>
            <w:tcW w:w="10004" w:type="dxa"/>
            <w:vAlign w:val="center"/>
          </w:tcPr>
          <w:p>
            <w:pPr>
              <w:pStyle w:val="26"/>
              <w:keepNext w:val="0"/>
              <w:keepLines w:val="0"/>
              <w:pageBreakBefore w:val="0"/>
              <w:widowControl w:val="0"/>
              <w:numPr>
                <w:ilvl w:val="0"/>
                <w:numId w:val="0"/>
              </w:numPr>
              <w:kinsoku/>
              <w:wordWrap/>
              <w:overflowPunct/>
              <w:topLinePunct w:val="0"/>
              <w:bidi w:val="0"/>
              <w:spacing w:line="240" w:lineRule="auto"/>
              <w:ind w:leftChars="0"/>
              <w:jc w:val="both"/>
              <w:textAlignment w:val="auto"/>
              <w:rPr>
                <w:sz w:val="21"/>
                <w:szCs w:val="21"/>
              </w:rPr>
            </w:pPr>
            <w:r>
              <w:rPr>
                <w:rFonts w:hint="eastAsia"/>
                <w:sz w:val="21"/>
                <w:szCs w:val="21"/>
                <w:lang w:eastAsia="zh-CN"/>
              </w:rPr>
              <w:t>－－</w:t>
            </w:r>
            <w:r>
              <w:rPr>
                <w:rFonts w:hint="eastAsia"/>
                <w:sz w:val="21"/>
                <w:szCs w:val="21"/>
              </w:rPr>
              <w:t>制定</w:t>
            </w:r>
            <w:r>
              <w:rPr>
                <w:rFonts w:hint="eastAsia"/>
                <w:sz w:val="21"/>
                <w:szCs w:val="21"/>
                <w:lang w:val="en-US" w:eastAsia="zh-CN"/>
              </w:rPr>
              <w:t>了</w:t>
            </w:r>
            <w:r>
              <w:rPr>
                <w:sz w:val="21"/>
                <w:szCs w:val="21"/>
              </w:rPr>
              <w:t xml:space="preserve"> </w:t>
            </w:r>
            <w:r>
              <w:rPr>
                <w:rFonts w:hint="eastAsia"/>
                <w:sz w:val="21"/>
                <w:szCs w:val="21"/>
              </w:rPr>
              <w:t>《管理评审控制程序》，管理评审的时间、方法均有明确的要求，文件规定每年至少进行一次管理评审。文件适用质量、环境、安全管理体系的评审工作，包括方针和目标的评审。</w:t>
            </w:r>
          </w:p>
          <w:p>
            <w:pPr>
              <w:pStyle w:val="26"/>
              <w:keepNext w:val="0"/>
              <w:keepLines w:val="0"/>
              <w:pageBreakBefore w:val="0"/>
              <w:widowControl w:val="0"/>
              <w:numPr>
                <w:ilvl w:val="0"/>
                <w:numId w:val="0"/>
              </w:numPr>
              <w:kinsoku/>
              <w:wordWrap/>
              <w:overflowPunct/>
              <w:topLinePunct w:val="0"/>
              <w:bidi w:val="0"/>
              <w:spacing w:line="240" w:lineRule="auto"/>
              <w:ind w:left="2" w:leftChars="0"/>
              <w:jc w:val="both"/>
              <w:textAlignment w:val="auto"/>
              <w:rPr>
                <w:color w:val="auto"/>
                <w:sz w:val="21"/>
                <w:szCs w:val="21"/>
              </w:rPr>
            </w:pPr>
            <w:r>
              <w:rPr>
                <w:rFonts w:hint="eastAsia"/>
                <w:sz w:val="21"/>
                <w:szCs w:val="21"/>
                <w:lang w:eastAsia="zh-CN"/>
              </w:rPr>
              <w:t>－－</w:t>
            </w:r>
            <w:r>
              <w:rPr>
                <w:rFonts w:hint="eastAsia"/>
                <w:color w:val="auto"/>
                <w:sz w:val="21"/>
                <w:szCs w:val="21"/>
              </w:rPr>
              <w:t>组织于202</w:t>
            </w:r>
            <w:r>
              <w:rPr>
                <w:rFonts w:hint="eastAsia"/>
                <w:color w:val="auto"/>
                <w:sz w:val="21"/>
                <w:szCs w:val="21"/>
                <w:lang w:val="en-US" w:eastAsia="zh-CN"/>
              </w:rPr>
              <w:t>3</w:t>
            </w:r>
            <w:r>
              <w:rPr>
                <w:rFonts w:hint="eastAsia"/>
                <w:color w:val="auto"/>
                <w:sz w:val="21"/>
                <w:szCs w:val="21"/>
              </w:rPr>
              <w:t>年</w:t>
            </w:r>
            <w:r>
              <w:rPr>
                <w:rFonts w:hint="eastAsia"/>
                <w:color w:val="auto"/>
                <w:sz w:val="21"/>
                <w:szCs w:val="21"/>
                <w:lang w:val="en-US" w:eastAsia="zh-CN"/>
              </w:rPr>
              <w:t>1</w:t>
            </w:r>
            <w:r>
              <w:rPr>
                <w:rFonts w:hint="eastAsia"/>
                <w:color w:val="auto"/>
                <w:sz w:val="21"/>
                <w:szCs w:val="21"/>
              </w:rPr>
              <w:t>月</w:t>
            </w:r>
            <w:r>
              <w:rPr>
                <w:rFonts w:hint="eastAsia"/>
                <w:color w:val="auto"/>
                <w:sz w:val="21"/>
                <w:szCs w:val="21"/>
                <w:lang w:val="en-US" w:eastAsia="zh-CN"/>
              </w:rPr>
              <w:t>29</w:t>
            </w:r>
            <w:r>
              <w:rPr>
                <w:rFonts w:hint="eastAsia"/>
                <w:color w:val="auto"/>
                <w:sz w:val="21"/>
                <w:szCs w:val="21"/>
              </w:rPr>
              <w:t>日由最高管理者主持，以会议的形式召开，各部门负责人参加。</w:t>
            </w:r>
          </w:p>
          <w:p>
            <w:pPr>
              <w:pStyle w:val="26"/>
              <w:keepNext w:val="0"/>
              <w:keepLines w:val="0"/>
              <w:pageBreakBefore w:val="0"/>
              <w:widowControl w:val="0"/>
              <w:numPr>
                <w:ilvl w:val="0"/>
                <w:numId w:val="1"/>
              </w:numPr>
              <w:kinsoku/>
              <w:wordWrap/>
              <w:overflowPunct/>
              <w:topLinePunct w:val="0"/>
              <w:bidi w:val="0"/>
              <w:spacing w:line="240" w:lineRule="auto"/>
              <w:ind w:left="2" w:firstLine="0" w:firstLineChars="0"/>
              <w:jc w:val="both"/>
              <w:textAlignment w:val="auto"/>
              <w:rPr>
                <w:rFonts w:hint="eastAsia"/>
                <w:sz w:val="21"/>
                <w:szCs w:val="21"/>
              </w:rPr>
            </w:pPr>
            <w:r>
              <w:rPr>
                <w:rFonts w:hint="eastAsia"/>
                <w:color w:val="auto"/>
                <w:sz w:val="21"/>
                <w:szCs w:val="21"/>
              </w:rPr>
              <w:t>抽查《管理评审计划》，计划内容</w:t>
            </w:r>
            <w:r>
              <w:rPr>
                <w:rFonts w:hint="eastAsia" w:ascii="宋体" w:hAnsi="宋体"/>
                <w:color w:val="auto"/>
                <w:sz w:val="21"/>
                <w:szCs w:val="21"/>
              </w:rPr>
              <w:t>包括</w:t>
            </w:r>
            <w:r>
              <w:rPr>
                <w:rFonts w:hint="eastAsia" w:ascii="宋体" w:hAnsi="宋体"/>
                <w:color w:val="000000"/>
                <w:sz w:val="21"/>
                <w:szCs w:val="21"/>
              </w:rPr>
              <w:t>管理评审目的、参加人员、各部门准备资料、评审会议要求等</w:t>
            </w:r>
            <w:r>
              <w:rPr>
                <w:rFonts w:hint="eastAsia"/>
                <w:sz w:val="21"/>
                <w:szCs w:val="21"/>
              </w:rPr>
              <w:t>。总经理批准。管理评审输入由管代和各部门收集并提供相关材料，内容基本涵盖：方针目标适宜性、质量目标的实现程度、体系策划和运行情况、可能的变更、内审情况、绩效达成、顾客满意情况及纠正措施完成情况，应对风险和机遇所采取措施的有效性以及改进的建议等等。</w:t>
            </w:r>
          </w:p>
          <w:p>
            <w:pPr>
              <w:pStyle w:val="26"/>
              <w:keepNext w:val="0"/>
              <w:keepLines w:val="0"/>
              <w:pageBreakBefore w:val="0"/>
              <w:widowControl w:val="0"/>
              <w:numPr>
                <w:ilvl w:val="0"/>
                <w:numId w:val="1"/>
              </w:numPr>
              <w:kinsoku/>
              <w:wordWrap/>
              <w:overflowPunct/>
              <w:topLinePunct w:val="0"/>
              <w:bidi w:val="0"/>
              <w:spacing w:line="240" w:lineRule="auto"/>
              <w:ind w:left="2" w:firstLine="0" w:firstLineChars="0"/>
              <w:jc w:val="both"/>
              <w:textAlignment w:val="auto"/>
              <w:rPr>
                <w:rFonts w:hint="eastAsia"/>
                <w:sz w:val="21"/>
                <w:szCs w:val="21"/>
              </w:rPr>
            </w:pPr>
            <w:r>
              <w:rPr>
                <w:rFonts w:hint="eastAsia"/>
                <w:sz w:val="21"/>
                <w:szCs w:val="21"/>
              </w:rPr>
              <w:t>查有《管理评审报告》，对评审情况进行了总结，各部门对各过程和活动进行了总结和讨论。</w:t>
            </w:r>
          </w:p>
          <w:p>
            <w:pPr>
              <w:pStyle w:val="26"/>
              <w:keepNext w:val="0"/>
              <w:keepLines w:val="0"/>
              <w:pageBreakBefore w:val="0"/>
              <w:widowControl w:val="0"/>
              <w:numPr>
                <w:ilvl w:val="0"/>
                <w:numId w:val="1"/>
              </w:numPr>
              <w:kinsoku/>
              <w:wordWrap/>
              <w:overflowPunct/>
              <w:topLinePunct w:val="0"/>
              <w:bidi w:val="0"/>
              <w:spacing w:line="240" w:lineRule="auto"/>
              <w:ind w:left="2" w:firstLine="0" w:firstLineChars="0"/>
              <w:jc w:val="both"/>
              <w:textAlignment w:val="auto"/>
              <w:rPr>
                <w:rFonts w:hint="eastAsia"/>
                <w:sz w:val="21"/>
                <w:szCs w:val="21"/>
              </w:rPr>
            </w:pPr>
            <w:r>
              <w:rPr>
                <w:rFonts w:hint="eastAsia"/>
                <w:sz w:val="21"/>
                <w:szCs w:val="21"/>
              </w:rPr>
              <w:t>评审结论：公司质量体系是适宜的和持续有效的。</w:t>
            </w:r>
          </w:p>
          <w:p>
            <w:pPr>
              <w:pStyle w:val="26"/>
              <w:keepNext w:val="0"/>
              <w:keepLines w:val="0"/>
              <w:pageBreakBefore w:val="0"/>
              <w:widowControl w:val="0"/>
              <w:numPr>
                <w:ilvl w:val="0"/>
                <w:numId w:val="1"/>
              </w:numPr>
              <w:kinsoku/>
              <w:wordWrap/>
              <w:overflowPunct/>
              <w:topLinePunct w:val="0"/>
              <w:bidi w:val="0"/>
              <w:spacing w:line="240" w:lineRule="auto"/>
              <w:ind w:left="2" w:firstLine="0" w:firstLineChars="0"/>
              <w:jc w:val="both"/>
              <w:textAlignment w:val="auto"/>
              <w:rPr>
                <w:rFonts w:hint="default"/>
                <w:sz w:val="21"/>
                <w:szCs w:val="21"/>
                <w:lang w:val="en-US" w:eastAsia="zh-CN"/>
              </w:rPr>
            </w:pPr>
            <w:r>
              <w:rPr>
                <w:rFonts w:hint="eastAsia"/>
                <w:sz w:val="21"/>
                <w:szCs w:val="21"/>
              </w:rPr>
              <w:t>本年度提出改进措要求</w:t>
            </w:r>
            <w:r>
              <w:rPr>
                <w:rFonts w:hint="eastAsia"/>
                <w:sz w:val="21"/>
                <w:szCs w:val="21"/>
                <w:lang w:val="en-US" w:eastAsia="zh-CN"/>
              </w:rPr>
              <w:t xml:space="preserve">为： </w:t>
            </w:r>
            <w:r>
              <w:rPr>
                <w:rFonts w:hint="eastAsia"/>
                <w:sz w:val="21"/>
                <w:szCs w:val="21"/>
              </w:rPr>
              <w:t>加强公司对ISO9001：2015质量管理体系标准的理解及培训。</w:t>
            </w:r>
            <w:r>
              <w:rPr>
                <w:rFonts w:hint="eastAsia"/>
                <w:sz w:val="21"/>
                <w:szCs w:val="21"/>
                <w:lang w:val="en-US" w:eastAsia="zh-CN"/>
              </w:rPr>
              <w:t>于2023.1.30对相关人员进行了培训。</w:t>
            </w:r>
          </w:p>
          <w:p>
            <w:pPr>
              <w:keepNext w:val="0"/>
              <w:keepLines w:val="0"/>
              <w:pageBreakBefore w:val="0"/>
              <w:widowControl w:val="0"/>
              <w:kinsoku/>
              <w:wordWrap/>
              <w:overflowPunct/>
              <w:topLinePunct w:val="0"/>
              <w:bidi w:val="0"/>
              <w:spacing w:before="25" w:after="25" w:line="240" w:lineRule="auto"/>
              <w:textAlignment w:val="auto"/>
              <w:rPr>
                <w:rFonts w:hint="eastAsia"/>
                <w:bCs/>
                <w:spacing w:val="10"/>
                <w:sz w:val="21"/>
                <w:szCs w:val="21"/>
              </w:rPr>
            </w:pPr>
            <w:r>
              <w:rPr>
                <w:rFonts w:hint="eastAsia"/>
                <w:sz w:val="21"/>
                <w:szCs w:val="21"/>
              </w:rPr>
              <w:t>管理评审基本符合要求。</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改进</w:t>
            </w: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Q10.1</w:t>
            </w:r>
          </w:p>
        </w:tc>
        <w:tc>
          <w:tcPr>
            <w:tcW w:w="10004" w:type="dxa"/>
            <w:vAlign w:val="center"/>
          </w:tcPr>
          <w:p>
            <w:pPr>
              <w:keepNext w:val="0"/>
              <w:keepLines w:val="0"/>
              <w:pageBreakBefore w:val="0"/>
              <w:widowControl w:val="0"/>
              <w:kinsoku/>
              <w:wordWrap/>
              <w:overflowPunct/>
              <w:topLinePunct w:val="0"/>
              <w:bidi w:val="0"/>
              <w:spacing w:line="240" w:lineRule="auto"/>
              <w:jc w:val="both"/>
              <w:textAlignment w:val="auto"/>
              <w:rPr>
                <w:sz w:val="21"/>
                <w:szCs w:val="21"/>
              </w:rPr>
            </w:pPr>
            <w:r>
              <w:rPr>
                <w:rFonts w:hint="eastAsia"/>
                <w:sz w:val="21"/>
                <w:szCs w:val="21"/>
              </w:rPr>
              <w:t>企业有通过建立管理方针、目标，改进服务质量、纠正、避免和减少非预期情况带来的不利影响，改进质量管理体系的绩效和有效性以及定期的内审、管理评审，合理化建议等，并通过质量管理目标建立与考核，明确了改进、努力的方向，建立一个自我完善、持续改进的机制和良好氛围。</w:t>
            </w:r>
          </w:p>
          <w:p>
            <w:pPr>
              <w:keepNext w:val="0"/>
              <w:keepLines w:val="0"/>
              <w:pageBreakBefore w:val="0"/>
              <w:widowControl w:val="0"/>
              <w:kinsoku/>
              <w:wordWrap/>
              <w:overflowPunct/>
              <w:topLinePunct w:val="0"/>
              <w:bidi w:val="0"/>
              <w:spacing w:line="240" w:lineRule="auto"/>
              <w:jc w:val="both"/>
              <w:textAlignment w:val="auto"/>
              <w:rPr>
                <w:sz w:val="21"/>
                <w:szCs w:val="21"/>
              </w:rPr>
            </w:pPr>
            <w:r>
              <w:rPr>
                <w:rFonts w:hint="eastAsia"/>
                <w:sz w:val="21"/>
                <w:szCs w:val="21"/>
              </w:rPr>
              <w:t>企业有充分识别和评价存在的改进机会，以持续满足顾客和相关方要求改进的方法措施包括：</w:t>
            </w:r>
          </w:p>
          <w:p>
            <w:pPr>
              <w:keepNext w:val="0"/>
              <w:keepLines w:val="0"/>
              <w:pageBreakBefore w:val="0"/>
              <w:widowControl w:val="0"/>
              <w:kinsoku/>
              <w:wordWrap/>
              <w:overflowPunct/>
              <w:topLinePunct w:val="0"/>
              <w:bidi w:val="0"/>
              <w:spacing w:line="240" w:lineRule="auto"/>
              <w:jc w:val="both"/>
              <w:textAlignment w:val="auto"/>
              <w:rPr>
                <w:sz w:val="21"/>
                <w:szCs w:val="21"/>
              </w:rPr>
            </w:pPr>
            <w:r>
              <w:rPr>
                <w:rFonts w:hint="eastAsia"/>
                <w:sz w:val="21"/>
                <w:szCs w:val="21"/>
              </w:rPr>
              <w:t>1）引导创新、修改和改进现有过程或实施新过程的突破项目；</w:t>
            </w:r>
          </w:p>
          <w:p>
            <w:pPr>
              <w:keepNext w:val="0"/>
              <w:keepLines w:val="0"/>
              <w:pageBreakBefore w:val="0"/>
              <w:widowControl w:val="0"/>
              <w:kinsoku/>
              <w:wordWrap/>
              <w:overflowPunct/>
              <w:topLinePunct w:val="0"/>
              <w:bidi w:val="0"/>
              <w:spacing w:line="240" w:lineRule="auto"/>
              <w:jc w:val="both"/>
              <w:textAlignment w:val="auto"/>
              <w:rPr>
                <w:sz w:val="21"/>
                <w:szCs w:val="21"/>
              </w:rPr>
            </w:pPr>
            <w:r>
              <w:rPr>
                <w:rFonts w:hint="eastAsia"/>
                <w:sz w:val="21"/>
                <w:szCs w:val="21"/>
              </w:rPr>
              <w:t>2）在现有过程中开展渐进、持续的改进活动；</w:t>
            </w:r>
          </w:p>
          <w:p>
            <w:pPr>
              <w:keepNext w:val="0"/>
              <w:keepLines w:val="0"/>
              <w:pageBreakBefore w:val="0"/>
              <w:widowControl w:val="0"/>
              <w:kinsoku/>
              <w:wordWrap/>
              <w:overflowPunct/>
              <w:topLinePunct w:val="0"/>
              <w:bidi w:val="0"/>
              <w:spacing w:before="25" w:after="25" w:line="240" w:lineRule="auto"/>
              <w:textAlignment w:val="auto"/>
              <w:rPr>
                <w:rFonts w:hint="eastAsia"/>
                <w:sz w:val="21"/>
                <w:szCs w:val="21"/>
              </w:rPr>
            </w:pPr>
            <w:r>
              <w:rPr>
                <w:rFonts w:hint="eastAsia"/>
                <w:sz w:val="21"/>
                <w:szCs w:val="21"/>
              </w:rPr>
              <w:t>3）纠正所存在不符合的原因等。</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 xml:space="preserve"> 持续改进</w:t>
            </w: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Q10.3</w:t>
            </w:r>
          </w:p>
        </w:tc>
        <w:tc>
          <w:tcPr>
            <w:tcW w:w="10004" w:type="dxa"/>
            <w:vAlign w:val="center"/>
          </w:tcPr>
          <w:p>
            <w:pPr>
              <w:keepNext w:val="0"/>
              <w:keepLines w:val="0"/>
              <w:pageBreakBefore w:val="0"/>
              <w:widowControl w:val="0"/>
              <w:kinsoku/>
              <w:wordWrap/>
              <w:overflowPunct/>
              <w:topLinePunct w:val="0"/>
              <w:bidi w:val="0"/>
              <w:spacing w:line="240" w:lineRule="auto"/>
              <w:jc w:val="both"/>
              <w:textAlignment w:val="auto"/>
              <w:rPr>
                <w:sz w:val="21"/>
                <w:szCs w:val="21"/>
              </w:rPr>
            </w:pPr>
            <w:r>
              <w:rPr>
                <w:rFonts w:hint="eastAsia"/>
                <w:sz w:val="21"/>
                <w:szCs w:val="21"/>
              </w:rPr>
              <w:t xml:space="preserve">企业策划的管理手册、程序文件等文件化信息要求要求实施、运行，并通过内审、管理评审、分析和评价、纠正和纠正措施、管理方针和管理目标等有关信息来源来实现对质量管理体系的持续改进，同时通过日常运行中发现的问题及时调整解决，以达到持续改进管理体系，以提升产品质量和组织环境绩效。 </w:t>
            </w:r>
          </w:p>
          <w:p>
            <w:pPr>
              <w:keepNext w:val="0"/>
              <w:keepLines w:val="0"/>
              <w:pageBreakBefore w:val="0"/>
              <w:widowControl w:val="0"/>
              <w:kinsoku/>
              <w:wordWrap/>
              <w:overflowPunct/>
              <w:topLinePunct w:val="0"/>
              <w:bidi w:val="0"/>
              <w:spacing w:before="25" w:after="25" w:line="240" w:lineRule="auto"/>
              <w:textAlignment w:val="auto"/>
              <w:rPr>
                <w:rFonts w:hint="eastAsia"/>
                <w:sz w:val="21"/>
                <w:szCs w:val="21"/>
              </w:rPr>
            </w:pPr>
            <w:r>
              <w:rPr>
                <w:rFonts w:hint="eastAsia"/>
                <w:sz w:val="21"/>
                <w:szCs w:val="21"/>
              </w:rPr>
              <w:t>日常监视和测量过程中发现的不合格、不符合要求相关责任部门及时制定相应的改进、纠正和纠正措施，以实现</w:t>
            </w:r>
            <w:r>
              <w:rPr>
                <w:rFonts w:hint="eastAsia"/>
                <w:sz w:val="21"/>
                <w:szCs w:val="21"/>
                <w:lang w:val="en-US" w:eastAsia="zh-CN"/>
              </w:rPr>
              <w:t>质量</w:t>
            </w:r>
            <w:r>
              <w:rPr>
                <w:rFonts w:hint="eastAsia"/>
                <w:sz w:val="21"/>
                <w:szCs w:val="21"/>
              </w:rPr>
              <w:t>管理体系的持续改进。</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rFonts w:hint="eastAsia"/>
                <w:sz w:val="21"/>
                <w:szCs w:val="21"/>
              </w:rPr>
            </w:pPr>
            <w:r>
              <w:rPr>
                <w:rFonts w:hint="eastAsia"/>
              </w:rPr>
              <w:t>对一阶段问题整改情况的确认；事故事件及起处理情况，质量监测情况、使用情况等</w:t>
            </w: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eastAsia"/>
                <w:sz w:val="21"/>
                <w:szCs w:val="21"/>
              </w:rPr>
            </w:pPr>
          </w:p>
        </w:tc>
        <w:tc>
          <w:tcPr>
            <w:tcW w:w="10004" w:type="dxa"/>
            <w:vAlign w:val="center"/>
          </w:tcPr>
          <w:p>
            <w:pPr>
              <w:keepNext w:val="0"/>
              <w:keepLines w:val="0"/>
              <w:pageBreakBefore w:val="0"/>
              <w:widowControl w:val="0"/>
              <w:kinsoku/>
              <w:wordWrap/>
              <w:overflowPunct/>
              <w:topLinePunct w:val="0"/>
              <w:bidi w:val="0"/>
              <w:adjustRightInd w:val="0"/>
              <w:snapToGrid w:val="0"/>
              <w:spacing w:line="240" w:lineRule="auto"/>
              <w:jc w:val="both"/>
              <w:textAlignment w:val="auto"/>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en-US" w:eastAsia="zh-CN"/>
              </w:rPr>
              <w:t>一阶段未提出改进意见</w:t>
            </w:r>
            <w:r>
              <w:rPr>
                <w:rFonts w:hint="eastAsia" w:asciiTheme="minorEastAsia" w:hAnsiTheme="minorEastAsia" w:eastAsiaTheme="minorEastAsia"/>
                <w:color w:val="auto"/>
                <w:sz w:val="21"/>
                <w:szCs w:val="21"/>
              </w:rPr>
              <w:t>。</w:t>
            </w:r>
          </w:p>
          <w:p>
            <w:pPr>
              <w:keepNext w:val="0"/>
              <w:keepLines w:val="0"/>
              <w:pageBreakBefore w:val="0"/>
              <w:widowControl w:val="0"/>
              <w:kinsoku/>
              <w:wordWrap/>
              <w:overflowPunct/>
              <w:topLinePunct w:val="0"/>
              <w:bidi w:val="0"/>
              <w:adjustRightInd w:val="0"/>
              <w:snapToGrid w:val="0"/>
              <w:spacing w:line="240" w:lineRule="auto"/>
              <w:jc w:val="both"/>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质量抽查：体系运行期间未进行抽查情况。</w:t>
            </w:r>
          </w:p>
          <w:p>
            <w:pPr>
              <w:keepNext w:val="0"/>
              <w:keepLines w:val="0"/>
              <w:pageBreakBefore w:val="0"/>
              <w:widowControl w:val="0"/>
              <w:kinsoku/>
              <w:wordWrap/>
              <w:overflowPunct/>
              <w:topLinePunct w:val="0"/>
              <w:bidi w:val="0"/>
              <w:adjustRightInd w:val="0"/>
              <w:snapToGrid w:val="0"/>
              <w:spacing w:line="240" w:lineRule="auto"/>
              <w:jc w:val="both"/>
              <w:textAlignment w:val="auto"/>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在体系运行期间未发生重大质量事故。</w:t>
            </w:r>
          </w:p>
          <w:p>
            <w:pPr>
              <w:keepNext w:val="0"/>
              <w:keepLines w:val="0"/>
              <w:pageBreakBefore w:val="0"/>
              <w:widowControl w:val="0"/>
              <w:kinsoku/>
              <w:wordWrap/>
              <w:overflowPunct/>
              <w:topLinePunct w:val="0"/>
              <w:bidi w:val="0"/>
              <w:adjustRightInd w:val="0"/>
              <w:snapToGrid w:val="0"/>
              <w:spacing w:line="240" w:lineRule="auto"/>
              <w:jc w:val="both"/>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顾客投诉情况：未发生</w:t>
            </w:r>
          </w:p>
          <w:p>
            <w:pPr>
              <w:keepNext w:val="0"/>
              <w:keepLines w:val="0"/>
              <w:pageBreakBefore w:val="0"/>
              <w:widowControl w:val="0"/>
              <w:kinsoku/>
              <w:wordWrap/>
              <w:overflowPunct/>
              <w:topLinePunct w:val="0"/>
              <w:bidi w:val="0"/>
              <w:adjustRightInd w:val="0"/>
              <w:snapToGrid w:val="0"/>
              <w:spacing w:line="240" w:lineRule="auto"/>
              <w:jc w:val="both"/>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上级检查情况：未发生</w:t>
            </w:r>
          </w:p>
          <w:p>
            <w:pPr>
              <w:keepNext w:val="0"/>
              <w:keepLines w:val="0"/>
              <w:pageBreakBefore w:val="0"/>
              <w:widowControl w:val="0"/>
              <w:kinsoku/>
              <w:wordWrap/>
              <w:overflowPunct/>
              <w:topLinePunct w:val="0"/>
              <w:bidi w:val="0"/>
              <w:adjustRightInd w:val="0"/>
              <w:snapToGrid w:val="0"/>
              <w:spacing w:line="240" w:lineRule="auto"/>
              <w:jc w:val="both"/>
              <w:textAlignment w:val="auto"/>
              <w:rPr>
                <w:rFonts w:hint="eastAsia"/>
                <w:sz w:val="21"/>
                <w:szCs w:val="21"/>
              </w:rPr>
            </w:pP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Y</w:t>
            </w:r>
          </w:p>
        </w:tc>
      </w:tr>
    </w:tbl>
    <w:p/>
    <w:p>
      <w:pPr>
        <w:pStyle w:val="7"/>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3073"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DE707B"/>
    <w:multiLevelType w:val="multilevel"/>
    <w:tmpl w:val="42DE70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3MjkyOTIxN2VhMThkMTAxMDIyOTYxMWFmYzMzNTgifQ=="/>
  </w:docVars>
  <w:rsids>
    <w:rsidRoot w:val="000311D0"/>
    <w:rsid w:val="000311D0"/>
    <w:rsid w:val="001B4960"/>
    <w:rsid w:val="002B1CA2"/>
    <w:rsid w:val="002C43C1"/>
    <w:rsid w:val="003338E8"/>
    <w:rsid w:val="004307A3"/>
    <w:rsid w:val="004446CD"/>
    <w:rsid w:val="004B2D4B"/>
    <w:rsid w:val="004F3D6F"/>
    <w:rsid w:val="00592A78"/>
    <w:rsid w:val="005A26BB"/>
    <w:rsid w:val="00676C48"/>
    <w:rsid w:val="006B5B2E"/>
    <w:rsid w:val="006C7D16"/>
    <w:rsid w:val="007740F2"/>
    <w:rsid w:val="0083681D"/>
    <w:rsid w:val="008439DE"/>
    <w:rsid w:val="00843AA2"/>
    <w:rsid w:val="008E290C"/>
    <w:rsid w:val="009C31B6"/>
    <w:rsid w:val="00A213D1"/>
    <w:rsid w:val="00B30A12"/>
    <w:rsid w:val="00B87776"/>
    <w:rsid w:val="00C04A2B"/>
    <w:rsid w:val="00D35AAF"/>
    <w:rsid w:val="00D920A1"/>
    <w:rsid w:val="00F44BF9"/>
    <w:rsid w:val="00FB76ED"/>
    <w:rsid w:val="1B114159"/>
    <w:rsid w:val="282C25A6"/>
    <w:rsid w:val="2B0E0FD0"/>
    <w:rsid w:val="2D350DF0"/>
    <w:rsid w:val="44022AC4"/>
    <w:rsid w:val="4EC94449"/>
    <w:rsid w:val="4FFB2C64"/>
    <w:rsid w:val="6C0E79A8"/>
    <w:rsid w:val="79A04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13">
    <w:name w:val="Default Paragraph Font"/>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240" w:lineRule="auto"/>
    </w:pPr>
    <w:rPr>
      <w:bCs/>
      <w:spacing w:val="10"/>
    </w:rPr>
  </w:style>
  <w:style w:type="paragraph" w:styleId="3">
    <w:name w:val="Body Text"/>
    <w:basedOn w:val="1"/>
    <w:link w:val="18"/>
    <w:qFormat/>
    <w:uiPriority w:val="0"/>
    <w:pPr>
      <w:spacing w:after="120" w:line="240" w:lineRule="auto"/>
    </w:pPr>
  </w:style>
  <w:style w:type="paragraph" w:styleId="4">
    <w:name w:val="toc 3"/>
    <w:basedOn w:val="1"/>
    <w:next w:val="1"/>
    <w:qFormat/>
    <w:uiPriority w:val="0"/>
    <w:pPr>
      <w:ind w:left="420"/>
      <w:jc w:val="left"/>
    </w:pPr>
    <w:rPr>
      <w:i/>
      <w:iCs/>
    </w:rPr>
  </w:style>
  <w:style w:type="paragraph" w:styleId="5">
    <w:name w:val="Plain Text"/>
    <w:basedOn w:val="1"/>
    <w:qFormat/>
    <w:uiPriority w:val="0"/>
    <w:rPr>
      <w:rFonts w:ascii="宋体"/>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Body Text First Indent"/>
    <w:basedOn w:val="3"/>
    <w:qFormat/>
    <w:uiPriority w:val="0"/>
    <w:pPr>
      <w:ind w:firstLine="420" w:firstLineChars="100"/>
    </w:pPr>
    <w:rPr>
      <w:szCs w:val="20"/>
    </w:rPr>
  </w:style>
  <w:style w:type="table" w:styleId="12">
    <w:name w:val="Table Grid"/>
    <w:basedOn w:val="11"/>
    <w:qFormat/>
    <w:uiPriority w:val="59"/>
    <w:pPr>
      <w:widowControl w:val="0"/>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8"/>
    <w:qFormat/>
    <w:uiPriority w:val="99"/>
    <w:rPr>
      <w:rFonts w:ascii="Times New Roman" w:hAnsi="Times New Roman" w:eastAsia="宋体" w:cs="Times New Roman"/>
      <w:sz w:val="18"/>
      <w:szCs w:val="18"/>
    </w:rPr>
  </w:style>
  <w:style w:type="character" w:customStyle="1" w:styleId="15">
    <w:name w:val="页脚 字符"/>
    <w:basedOn w:val="13"/>
    <w:link w:val="7"/>
    <w:qFormat/>
    <w:uiPriority w:val="99"/>
    <w:rPr>
      <w:rFonts w:ascii="Times New Roman" w:hAnsi="Times New Roman" w:eastAsia="宋体" w:cs="Times New Roman"/>
      <w:sz w:val="18"/>
      <w:szCs w:val="18"/>
    </w:rPr>
  </w:style>
  <w:style w:type="character" w:customStyle="1" w:styleId="16">
    <w:name w:val="批注框文本 字符"/>
    <w:basedOn w:val="13"/>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正文文本 字符"/>
    <w:basedOn w:val="13"/>
    <w:link w:val="3"/>
    <w:qFormat/>
    <w:uiPriority w:val="0"/>
    <w:rPr>
      <w:rFonts w:ascii="Times New Roman" w:hAnsi="Times New Roman" w:eastAsia="宋体" w:cs="Times New Roman"/>
      <w:kern w:val="2"/>
      <w:sz w:val="21"/>
    </w:rPr>
  </w:style>
  <w:style w:type="character" w:customStyle="1" w:styleId="19">
    <w:name w:val="纯文本 Char"/>
    <w:link w:val="20"/>
    <w:qFormat/>
    <w:uiPriority w:val="0"/>
    <w:rPr>
      <w:rFonts w:ascii="宋体" w:hAnsi="Courier New" w:cs="Courier New"/>
      <w:kern w:val="2"/>
      <w:sz w:val="21"/>
      <w:szCs w:val="21"/>
    </w:rPr>
  </w:style>
  <w:style w:type="paragraph" w:customStyle="1" w:styleId="20">
    <w:name w:val="纯文本1"/>
    <w:basedOn w:val="1"/>
    <w:link w:val="19"/>
    <w:qFormat/>
    <w:uiPriority w:val="0"/>
    <w:pPr>
      <w:spacing w:after="0" w:line="360" w:lineRule="auto"/>
    </w:pPr>
    <w:rPr>
      <w:rFonts w:ascii="宋体" w:hAnsi="Courier New" w:cs="Courier New" w:eastAsiaTheme="minorEastAsia"/>
      <w:szCs w:val="21"/>
    </w:rPr>
  </w:style>
  <w:style w:type="table" w:customStyle="1" w:styleId="21">
    <w:name w:val="网格型1"/>
    <w:basedOn w:val="11"/>
    <w:qFormat/>
    <w:uiPriority w:val="59"/>
    <w:pPr>
      <w:widowControl w:val="0"/>
      <w:spacing w:after="0" w:line="240" w:lineRule="auto"/>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网格型2"/>
    <w:basedOn w:val="11"/>
    <w:qFormat/>
    <w:uiPriority w:val="59"/>
    <w:pPr>
      <w:widowControl w:val="0"/>
      <w:spacing w:after="0" w:line="240" w:lineRule="auto"/>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No Spacing"/>
    <w:qFormat/>
    <w:uiPriority w:val="0"/>
    <w:pPr>
      <w:widowControl w:val="0"/>
      <w:adjustRightInd w:val="0"/>
      <w:spacing w:after="0" w:line="240" w:lineRule="auto"/>
      <w:jc w:val="both"/>
      <w:textAlignment w:val="baseline"/>
    </w:pPr>
    <w:rPr>
      <w:rFonts w:ascii="Times New Roman" w:hAnsi="Times New Roman" w:eastAsia="宋体" w:cs="Times New Roman"/>
      <w:kern w:val="2"/>
      <w:sz w:val="21"/>
      <w:szCs w:val="24"/>
      <w:lang w:val="en-US" w:eastAsia="zh-CN" w:bidi="ar-SA"/>
    </w:rPr>
  </w:style>
  <w:style w:type="table" w:customStyle="1" w:styleId="24">
    <w:name w:val="网格型3"/>
    <w:basedOn w:val="11"/>
    <w:qFormat/>
    <w:uiPriority w:val="59"/>
    <w:pPr>
      <w:widowControl w:val="0"/>
      <w:spacing w:after="0" w:line="240" w:lineRule="auto"/>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Plain Text"/>
    <w:basedOn w:val="1"/>
    <w:qFormat/>
    <w:uiPriority w:val="0"/>
    <w:rPr>
      <w:rFonts w:ascii="宋体" w:hAnsi="Courier New"/>
      <w:szCs w:val="21"/>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F23992-C69C-4D19-9B86-B646420D975D}">
  <ds:schemaRefs/>
</ds:datastoreItem>
</file>

<file path=docProps/app.xml><?xml version="1.0" encoding="utf-8"?>
<Properties xmlns="http://schemas.openxmlformats.org/officeDocument/2006/extended-properties" xmlns:vt="http://schemas.openxmlformats.org/officeDocument/2006/docPropsVTypes">
  <Template>Normal</Template>
  <Pages>7</Pages>
  <Words>3821</Words>
  <Characters>4019</Characters>
  <Lines>208</Lines>
  <Paragraphs>58</Paragraphs>
  <TotalTime>1</TotalTime>
  <ScaleCrop>false</ScaleCrop>
  <LinksUpToDate>false</LinksUpToDate>
  <CharactersWithSpaces>4087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apple</cp:lastModifiedBy>
  <dcterms:modified xsi:type="dcterms:W3CDTF">2023-02-25T02:11:25Z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