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重庆富特石业有限公司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0033-2023-QEO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重庆市大</w:t>
            </w:r>
            <w:bookmarkStart w:id="18" w:name="_GoBack"/>
            <w:bookmarkEnd w:id="18"/>
            <w:r>
              <w:rPr>
                <w:rFonts w:ascii="宋体"/>
                <w:bCs/>
                <w:color w:val="auto"/>
                <w:sz w:val="24"/>
              </w:rPr>
              <w:t>足区三驱镇大足石刻文创园石文化产业园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徐敏玲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重庆市九龙坡区走马镇走马建材交易市场15厅10号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徐善春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15902305979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15902305979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Q：石材销售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E：石材销售所涉及场所的相关环境管理活动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O：石材销售所涉及场所的相关职业健康安全管理活动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Q：29.05.03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E：29.05.03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O：29.05.03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color w:val="auto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冉景洲2023.2.16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4"/>
              </w:rPr>
              <w:t xml:space="preserve">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不符合标准及条款：GB/T24001-2016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4"/>
              </w:rPr>
              <w:t>GB/T 45001-2020标准9.1.1条款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/>
                <w:bCs/>
                <w:color w:val="auto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冉景洲 2023.2.18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1AFF3810"/>
    <w:rsid w:val="5F567866"/>
    <w:rsid w:val="62B84A90"/>
    <w:rsid w:val="756C6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1776</Words>
  <Characters>1995</Characters>
  <Lines>16</Lines>
  <Paragraphs>4</Paragraphs>
  <TotalTime>1</TotalTime>
  <ScaleCrop>false</ScaleCrop>
  <LinksUpToDate>false</LinksUpToDate>
  <CharactersWithSpaces>2506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2023-02-20T01:47:27Z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